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0267A9">
      <w:pPr>
        <w:topLinePunct/>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河南双汇投资发展股份有限公司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22</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河南双汇投资发展股份有限公司</w:t>
      </w:r>
      <w:r w:rsidR="000267A9" w:rsidRPr="00107600">
        <w:rPr>
          <w:rFonts w:ascii="仿宋" w:eastAsia="仿宋" w:hAnsi="仿宋" w:hint="eastAsia"/>
          <w:b/>
          <w:sz w:val="28"/>
        </w:rPr>
        <w:t>董事会 ：</w:t>
      </w:r>
    </w:p>
    <w:p w:rsidR="000267A9" w:rsidRPr="008A3DF2" w:rsidRDefault="000267A9" w:rsidP="000267A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我部在年报审查过程中发现如下问题：</w:t>
      </w:r>
    </w:p>
    <w:p w:rsidR="002E0803" w:rsidRDefault="003D2F88" w:rsidP="002E0803">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1、（1）公司2012年实施完毕的重大资产重组中，交易对手方对补偿期届满时的资产净值进行了补偿承诺。根据公司披露的《注入资产2014年12月31日减值测试报告之专项审核报告》，注入资产截至2014年12月31日的评估值为3,708,039万元，扣除补偿期内注入资产股东增资、减资、接受赠与以及利润分配的影响金额637,748万元，与注入资产当初交易作价2,611,825万元相比未发生减值。请公司说明补偿期间注入资产股东增资、减资、接受赠与以及利润分配的具体情况，北京亚太联华资产评估有限公司是否具有为上市公司提供评估服务的资质；同时为维护投资者的知情权，请公司补充披露北京亚太联华资产评估有限公司出具的评估报告和评估说明，以及补偿期间注入资产股东增资、减资、接受赠与以及利润分配的具体情况。请公司中介机构对前述事项进行核查。</w:t>
      </w:r>
    </w:p>
    <w:p w:rsidR="002E0803" w:rsidRDefault="003D2F88" w:rsidP="002E0803">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2）公司2012年实施完毕的重大资产重组中，公司以持有的漯河双汇物流投资有限公司（以下简称“物流公司”）85%的股权作为置出资产与控股股东注入资产等值部分进行置换，根据公司披露的近三年年度报告，本次重组完成后，公司与物流公司每年发生大额的关联交易且呈增长趋势，其中2012年、2013年和2014年分别接受物流公司提供的运输劳务金额4.41亿元、9.63亿元和10.51亿元。请</w:t>
      </w:r>
      <w:r w:rsidRPr="008A3DF2">
        <w:rPr>
          <w:rFonts w:ascii="仿宋" w:eastAsia="仿宋" w:hAnsi="仿宋" w:cs="宋体"/>
          <w:kern w:val="0"/>
          <w:sz w:val="28"/>
          <w:szCs w:val="28"/>
        </w:rPr>
        <w:lastRenderedPageBreak/>
        <w:t>公司说明当初将物流公司置出的原因，以及从完善产业链和减少关联交易角度，前述行为是否符合《上市公司规范运作指引》的相关规定。</w:t>
      </w:r>
    </w:p>
    <w:p w:rsidR="002E0803" w:rsidRDefault="003D2F88" w:rsidP="002E0803">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3）根据公司披露的2014年度《注入资产盈利预测实现情况专项审核报告》和2012年披露的修订后重组报告书材料，注入资产的预测净利润根据当时评估报告中预测净利润扣除管理层激励所产生的特别损益后的金额确定；2014年年报“股份支付”项下显示，双汇国际目前实施了两份和上市公司相关的股权激励计划。请公司根据《企业会计准则解释第4号》对涉及集团内公司的股份支付计划的处理规定说明，双汇国际两份股权激励计划各期激励费用的具体计算过程；补偿期间各期预测净利润时考虑的非经常性损益项目和具体金额（同时报备重组时相关的资产评估报告）；补偿期间各期注入资产实际实现的非经常性损益具体项目和具体金额，以及《注入资产盈利预测实现情况专项审核报告》在评估注入资产实际实现净利润是否达到预测标准时，实际扣除的非经常性损益项目和金额。</w:t>
      </w:r>
    </w:p>
    <w:p w:rsidR="002E0803" w:rsidRDefault="003D2F88" w:rsidP="002E0803">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4）“主要子公司、参股公司分析”项下显示，公司多家子公司报告期的净资产收益率（净利润/期末净资产）很高，如漯河连邦化学有限公司（以下简称“连邦化学”）为63%、漯河天润彩印包装有限公司为76.99%、漯河双汇彩印包装有限公司（以下简称“双汇彩印”）为63%；根据公司2012年披露的修订后重组报告书材料，双汇彩印的2011年前八月和2011年度的期末净资产收益率分别为27%和37%，连邦化学对应的净资产收益率分别为36%和47%。请公司说明：公司主要子公司、参股公司中，净资产收益率高于母公司的主</w:t>
      </w:r>
      <w:r w:rsidRPr="008A3DF2">
        <w:rPr>
          <w:rFonts w:ascii="仿宋" w:eastAsia="仿宋" w:hAnsi="仿宋" w:cs="宋体"/>
          <w:kern w:val="0"/>
          <w:sz w:val="28"/>
          <w:szCs w:val="28"/>
        </w:rPr>
        <w:lastRenderedPageBreak/>
        <w:t>要原因（分别说明各家子公司或参股公司对应的具体原因）；2012年重大资产重组注入的主要子公司在补偿期间的各期净资产收益率情况，以及其净资产收益率在补偿期间和历史期间出现重大差异的具体原因（如适用）；2012年重大资产重组注入的主要子公司的主要销售和采购客户、市场和业务定位情况。</w:t>
      </w:r>
    </w:p>
    <w:p w:rsidR="002E0803" w:rsidRDefault="003D2F88" w:rsidP="002E0803">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（5）合并利润表、合并现金流量表和母公司利润表及母公司现金流量表显示，公司集团和母公司对应的主要财务指标如下：</w:t>
      </w:r>
    </w:p>
    <w:tbl>
      <w:tblPr>
        <w:tblW w:w="8379" w:type="dxa"/>
        <w:tblInd w:w="93" w:type="dxa"/>
        <w:tblLook w:val="04A0" w:firstRow="1" w:lastRow="0" w:firstColumn="1" w:lastColumn="0" w:noHBand="0" w:noVBand="1"/>
      </w:tblPr>
      <w:tblGrid>
        <w:gridCol w:w="2000"/>
        <w:gridCol w:w="1500"/>
        <w:gridCol w:w="1180"/>
        <w:gridCol w:w="1280"/>
        <w:gridCol w:w="2419"/>
      </w:tblGrid>
      <w:tr w:rsidR="002E0803" w:rsidRPr="002E0803" w:rsidTr="002E0803">
        <w:trPr>
          <w:trHeight w:val="540"/>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E0803" w:rsidRPr="002E0803" w:rsidRDefault="002E0803" w:rsidP="00CF0BB4">
            <w:pPr>
              <w:widowControl/>
              <w:jc w:val="left"/>
              <w:rPr>
                <w:rFonts w:ascii="仿宋" w:eastAsia="仿宋" w:hAnsi="仿宋" w:cs="宋体"/>
                <w:color w:val="000000"/>
                <w:kern w:val="0"/>
                <w:sz w:val="24"/>
              </w:rPr>
            </w:pPr>
            <w:r w:rsidRPr="002E0803">
              <w:rPr>
                <w:rFonts w:ascii="仿宋" w:eastAsia="仿宋" w:hAnsi="仿宋" w:cs="宋体" w:hint="eastAsia"/>
                <w:color w:val="000000"/>
                <w:kern w:val="0"/>
                <w:sz w:val="24"/>
              </w:rPr>
              <w:t>项目</w:t>
            </w:r>
          </w:p>
        </w:tc>
        <w:tc>
          <w:tcPr>
            <w:tcW w:w="1500" w:type="dxa"/>
            <w:tcBorders>
              <w:top w:val="single" w:sz="8" w:space="0" w:color="auto"/>
              <w:left w:val="nil"/>
              <w:bottom w:val="single" w:sz="4" w:space="0" w:color="auto"/>
              <w:right w:val="single" w:sz="4"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营业总收入</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营业利润</w:t>
            </w:r>
          </w:p>
        </w:tc>
        <w:tc>
          <w:tcPr>
            <w:tcW w:w="1280" w:type="dxa"/>
            <w:tcBorders>
              <w:top w:val="single" w:sz="8" w:space="0" w:color="auto"/>
              <w:left w:val="nil"/>
              <w:bottom w:val="single" w:sz="4" w:space="0" w:color="auto"/>
              <w:right w:val="single" w:sz="4"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净利润</w:t>
            </w:r>
          </w:p>
        </w:tc>
        <w:tc>
          <w:tcPr>
            <w:tcW w:w="2419" w:type="dxa"/>
            <w:tcBorders>
              <w:top w:val="single" w:sz="8" w:space="0" w:color="auto"/>
              <w:left w:val="nil"/>
              <w:bottom w:val="single" w:sz="4" w:space="0" w:color="auto"/>
              <w:right w:val="single" w:sz="8" w:space="0" w:color="auto"/>
            </w:tcBorders>
            <w:shd w:val="clear" w:color="auto" w:fill="auto"/>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现金支付的各项税费</w:t>
            </w:r>
          </w:p>
        </w:tc>
      </w:tr>
      <w:tr w:rsidR="002E0803" w:rsidRPr="002E0803" w:rsidTr="002E0803">
        <w:trPr>
          <w:trHeight w:val="270"/>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2E0803" w:rsidRPr="002E0803" w:rsidRDefault="002E0803" w:rsidP="00CF0BB4">
            <w:pPr>
              <w:widowControl/>
              <w:jc w:val="left"/>
              <w:rPr>
                <w:rFonts w:ascii="仿宋" w:eastAsia="仿宋" w:hAnsi="仿宋" w:cs="宋体"/>
                <w:color w:val="000000"/>
                <w:kern w:val="0"/>
                <w:sz w:val="24"/>
              </w:rPr>
            </w:pPr>
            <w:r w:rsidRPr="002E0803">
              <w:rPr>
                <w:rFonts w:ascii="仿宋" w:eastAsia="仿宋" w:hAnsi="仿宋" w:cs="宋体" w:hint="eastAsia"/>
                <w:color w:val="000000"/>
                <w:kern w:val="0"/>
                <w:sz w:val="24"/>
              </w:rPr>
              <w:t>合并报表（亿元）</w:t>
            </w:r>
          </w:p>
        </w:tc>
        <w:tc>
          <w:tcPr>
            <w:tcW w:w="1500" w:type="dxa"/>
            <w:tcBorders>
              <w:top w:val="nil"/>
              <w:left w:val="nil"/>
              <w:bottom w:val="single" w:sz="4" w:space="0" w:color="auto"/>
              <w:right w:val="single" w:sz="4"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456.96</w:t>
            </w:r>
          </w:p>
        </w:tc>
        <w:tc>
          <w:tcPr>
            <w:tcW w:w="1180" w:type="dxa"/>
            <w:tcBorders>
              <w:top w:val="nil"/>
              <w:left w:val="nil"/>
              <w:bottom w:val="single" w:sz="4" w:space="0" w:color="auto"/>
              <w:right w:val="single" w:sz="4"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51.09</w:t>
            </w:r>
          </w:p>
        </w:tc>
        <w:tc>
          <w:tcPr>
            <w:tcW w:w="1280" w:type="dxa"/>
            <w:tcBorders>
              <w:top w:val="nil"/>
              <w:left w:val="nil"/>
              <w:bottom w:val="single" w:sz="4" w:space="0" w:color="auto"/>
              <w:right w:val="single" w:sz="4"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42.15</w:t>
            </w:r>
          </w:p>
        </w:tc>
        <w:tc>
          <w:tcPr>
            <w:tcW w:w="2419" w:type="dxa"/>
            <w:tcBorders>
              <w:top w:val="nil"/>
              <w:left w:val="nil"/>
              <w:bottom w:val="single" w:sz="4" w:space="0" w:color="auto"/>
              <w:right w:val="single" w:sz="8"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31.13</w:t>
            </w:r>
          </w:p>
        </w:tc>
      </w:tr>
      <w:tr w:rsidR="002E0803" w:rsidRPr="002E0803" w:rsidTr="002E0803">
        <w:trPr>
          <w:trHeight w:val="270"/>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2E0803" w:rsidRPr="002E0803" w:rsidRDefault="002E0803" w:rsidP="00CF0BB4">
            <w:pPr>
              <w:widowControl/>
              <w:jc w:val="left"/>
              <w:rPr>
                <w:rFonts w:ascii="仿宋" w:eastAsia="仿宋" w:hAnsi="仿宋" w:cs="宋体"/>
                <w:color w:val="000000"/>
                <w:kern w:val="0"/>
                <w:sz w:val="24"/>
              </w:rPr>
            </w:pPr>
            <w:r w:rsidRPr="002E0803">
              <w:rPr>
                <w:rFonts w:ascii="仿宋" w:eastAsia="仿宋" w:hAnsi="仿宋" w:cs="宋体" w:hint="eastAsia"/>
                <w:color w:val="000000"/>
                <w:kern w:val="0"/>
                <w:sz w:val="24"/>
              </w:rPr>
              <w:t>母公司（亿元）</w:t>
            </w:r>
          </w:p>
        </w:tc>
        <w:tc>
          <w:tcPr>
            <w:tcW w:w="1500" w:type="dxa"/>
            <w:tcBorders>
              <w:top w:val="nil"/>
              <w:left w:val="nil"/>
              <w:bottom w:val="single" w:sz="4" w:space="0" w:color="auto"/>
              <w:right w:val="single" w:sz="4"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356.57</w:t>
            </w:r>
          </w:p>
        </w:tc>
        <w:tc>
          <w:tcPr>
            <w:tcW w:w="1180" w:type="dxa"/>
            <w:tcBorders>
              <w:top w:val="nil"/>
              <w:left w:val="nil"/>
              <w:bottom w:val="single" w:sz="4" w:space="0" w:color="auto"/>
              <w:right w:val="single" w:sz="4"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17.22</w:t>
            </w:r>
          </w:p>
        </w:tc>
        <w:tc>
          <w:tcPr>
            <w:tcW w:w="1280" w:type="dxa"/>
            <w:tcBorders>
              <w:top w:val="nil"/>
              <w:left w:val="nil"/>
              <w:bottom w:val="single" w:sz="4" w:space="0" w:color="auto"/>
              <w:right w:val="single" w:sz="4"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15.42</w:t>
            </w:r>
          </w:p>
        </w:tc>
        <w:tc>
          <w:tcPr>
            <w:tcW w:w="2419" w:type="dxa"/>
            <w:tcBorders>
              <w:top w:val="nil"/>
              <w:left w:val="nil"/>
              <w:bottom w:val="single" w:sz="4" w:space="0" w:color="auto"/>
              <w:right w:val="single" w:sz="8"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8.56</w:t>
            </w:r>
          </w:p>
        </w:tc>
      </w:tr>
      <w:tr w:rsidR="002E0803" w:rsidRPr="002E0803" w:rsidTr="002E0803">
        <w:trPr>
          <w:trHeight w:val="285"/>
        </w:trPr>
        <w:tc>
          <w:tcPr>
            <w:tcW w:w="2000" w:type="dxa"/>
            <w:tcBorders>
              <w:top w:val="nil"/>
              <w:left w:val="single" w:sz="8" w:space="0" w:color="auto"/>
              <w:bottom w:val="single" w:sz="8" w:space="0" w:color="auto"/>
              <w:right w:val="single" w:sz="4" w:space="0" w:color="auto"/>
            </w:tcBorders>
            <w:shd w:val="clear" w:color="auto" w:fill="auto"/>
            <w:noWrap/>
            <w:vAlign w:val="center"/>
            <w:hideMark/>
          </w:tcPr>
          <w:p w:rsidR="002E0803" w:rsidRPr="002E0803" w:rsidRDefault="002E0803" w:rsidP="00CF0BB4">
            <w:pPr>
              <w:widowControl/>
              <w:jc w:val="left"/>
              <w:rPr>
                <w:rFonts w:ascii="仿宋" w:eastAsia="仿宋" w:hAnsi="仿宋" w:cs="宋体"/>
                <w:color w:val="000000"/>
                <w:kern w:val="0"/>
                <w:sz w:val="24"/>
              </w:rPr>
            </w:pPr>
            <w:r w:rsidRPr="002E0803">
              <w:rPr>
                <w:rFonts w:ascii="仿宋" w:eastAsia="仿宋" w:hAnsi="仿宋" w:cs="宋体" w:hint="eastAsia"/>
                <w:color w:val="000000"/>
                <w:kern w:val="0"/>
                <w:sz w:val="24"/>
              </w:rPr>
              <w:t>母公司占比情况</w:t>
            </w:r>
          </w:p>
        </w:tc>
        <w:tc>
          <w:tcPr>
            <w:tcW w:w="1500" w:type="dxa"/>
            <w:tcBorders>
              <w:top w:val="nil"/>
              <w:left w:val="nil"/>
              <w:bottom w:val="single" w:sz="8" w:space="0" w:color="auto"/>
              <w:right w:val="single" w:sz="4"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78.03%</w:t>
            </w:r>
          </w:p>
        </w:tc>
        <w:tc>
          <w:tcPr>
            <w:tcW w:w="1180" w:type="dxa"/>
            <w:tcBorders>
              <w:top w:val="nil"/>
              <w:left w:val="nil"/>
              <w:bottom w:val="single" w:sz="8" w:space="0" w:color="auto"/>
              <w:right w:val="single" w:sz="4"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33.71%</w:t>
            </w:r>
          </w:p>
        </w:tc>
        <w:tc>
          <w:tcPr>
            <w:tcW w:w="1280" w:type="dxa"/>
            <w:tcBorders>
              <w:top w:val="nil"/>
              <w:left w:val="nil"/>
              <w:bottom w:val="single" w:sz="8" w:space="0" w:color="auto"/>
              <w:right w:val="single" w:sz="4"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36.58%</w:t>
            </w:r>
          </w:p>
        </w:tc>
        <w:tc>
          <w:tcPr>
            <w:tcW w:w="2419" w:type="dxa"/>
            <w:tcBorders>
              <w:top w:val="nil"/>
              <w:left w:val="nil"/>
              <w:bottom w:val="single" w:sz="8" w:space="0" w:color="auto"/>
              <w:right w:val="single" w:sz="4" w:space="0" w:color="auto"/>
            </w:tcBorders>
            <w:shd w:val="clear" w:color="auto" w:fill="auto"/>
            <w:noWrap/>
            <w:vAlign w:val="center"/>
            <w:hideMark/>
          </w:tcPr>
          <w:p w:rsidR="002E0803" w:rsidRPr="002E0803" w:rsidRDefault="002E0803" w:rsidP="00CF0BB4">
            <w:pPr>
              <w:widowControl/>
              <w:jc w:val="center"/>
              <w:rPr>
                <w:rFonts w:ascii="仿宋" w:eastAsia="仿宋" w:hAnsi="仿宋" w:cs="宋体"/>
                <w:color w:val="000000"/>
                <w:kern w:val="0"/>
                <w:sz w:val="24"/>
              </w:rPr>
            </w:pPr>
            <w:r w:rsidRPr="002E0803">
              <w:rPr>
                <w:rFonts w:ascii="仿宋" w:eastAsia="仿宋" w:hAnsi="仿宋" w:cs="宋体" w:hint="eastAsia"/>
                <w:color w:val="000000"/>
                <w:kern w:val="0"/>
                <w:sz w:val="24"/>
              </w:rPr>
              <w:t>27.50%</w:t>
            </w:r>
          </w:p>
        </w:tc>
      </w:tr>
    </w:tbl>
    <w:p w:rsidR="002E0803" w:rsidRDefault="003D2F88" w:rsidP="002E0803">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请公司说明母公司和2012年重组时注入的主要子公司在经营模式、业务和产品定位、供应商和客户等方面是否存在重大差异及差异的具体情况；补偿期间和历史期间母公司与2012年重组注入的主要子公司上述财务指标的占比情况以及占比变动的原因（如适用）；报告期内，在母公司营业收入占比超过75%的前提下，母公司实现的营业利润和净利润及相关税费占比大幅偏低的具体原因。</w:t>
      </w:r>
    </w:p>
    <w:p w:rsidR="002E0803" w:rsidRDefault="003D2F88" w:rsidP="002E0803">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2、报告期末，公司存货期末余额为37.20亿元（期初余额35.68亿元），其中原材料原值18.50亿元（占比48.63%，报告期内计提减值0万元），库存商品17.66亿元（占比46.42%，报告期内计提减值0.16亿元）。请公司说明期末存货中冻肉、鲜肉和肉制品等的比重及各自的平均保质期，公司对不同种类的存货判断减值的具体依据（如对于超过保质期的存货如何评估减值等）；公司原材料的具体用途以及在库存商品出现减值的前提下，公司原材料和在产品无需计</w:t>
      </w:r>
      <w:r w:rsidRPr="008A3DF2">
        <w:rPr>
          <w:rFonts w:ascii="仿宋" w:eastAsia="仿宋" w:hAnsi="仿宋" w:cs="宋体"/>
          <w:kern w:val="0"/>
          <w:sz w:val="28"/>
          <w:szCs w:val="28"/>
        </w:rPr>
        <w:lastRenderedPageBreak/>
        <w:t>提减值的原因。</w:t>
      </w:r>
    </w:p>
    <w:p w:rsidR="002E0803" w:rsidRDefault="003D2F88" w:rsidP="002E0803">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3、“在建工程”和“固定资产”项下显示，本期由在建工程转入的固定资产原值合计29.09亿元。请公司说明，公司对在建工程的归集和核算方面的主要内控政策和内控措施，并提供报告期内已结转的主要项目的竣工结算报告或验收报告（对于暂估结转的，请公司说明暂估金额的确定依据和期后实际情况）。</w:t>
      </w:r>
    </w:p>
    <w:p w:rsidR="002E0803" w:rsidRDefault="003D2F88" w:rsidP="002E0803">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4、“递延收益”和“营业外收入”项下显示，公司对部分农业产业化资金和企业发展扶持资金确认为与资产相关并于“递延收益”项下核算、分期摊销，部分前述资金确定为于收益相关并一次性确认收入。请公司针对主要的补偿资金项目说明前述划分的主要依据，提供相关的政府补贴文件等支持文件，并复核账务处理的合规性。</w:t>
      </w:r>
    </w:p>
    <w:p w:rsidR="002E0803" w:rsidRDefault="003D2F88" w:rsidP="002E0803">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5、“承诺事项履行情况”项下显示，报告期末，双汇集团、罗特克斯、万洲国际、兴泰集团、万隆先生对重组中注入在建工程的盈利补偿承诺尚未履行完毕。请公司结合2012年披露的修订后重组报告书材料，说明对于上海双汇大昌有限公司日产200吨低温肉制品项目2012年至2015年期间的承诺净利润额的计算公式和承诺金额，以及资产评估报告及当时的披露文件中对相关信息的披露情况。</w:t>
      </w:r>
    </w:p>
    <w:p w:rsidR="002E0803" w:rsidRDefault="003D2F88" w:rsidP="002E0803">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6、请公司对照《公开发行证券的公司信息披露内容与格式准则第2号—年度报告的内容与格式》（以下简称“2号准则”）的规定复核：</w:t>
      </w:r>
    </w:p>
    <w:p w:rsidR="000267A9" w:rsidRPr="008A3DF2" w:rsidRDefault="003D2F88" w:rsidP="002E0803">
      <w:pPr>
        <w:ind w:leftChars="100" w:left="210"/>
        <w:outlineLvl w:val="0"/>
        <w:rPr>
          <w:rFonts w:ascii="仿宋" w:eastAsia="仿宋" w:hAnsi="仿宋"/>
          <w:sz w:val="28"/>
          <w:szCs w:val="28"/>
        </w:rPr>
      </w:pPr>
      <w:r w:rsidRPr="008A3DF2">
        <w:rPr>
          <w:rFonts w:ascii="仿宋" w:eastAsia="仿宋" w:hAnsi="仿宋" w:cs="宋体"/>
          <w:kern w:val="0"/>
          <w:sz w:val="28"/>
          <w:szCs w:val="28"/>
        </w:rPr>
        <w:t>（1）“报告分部的财务信息”中部分合计项下列示金额的准确性；</w:t>
      </w:r>
      <w:r w:rsidRPr="008A3DF2">
        <w:rPr>
          <w:rFonts w:ascii="仿宋" w:eastAsia="仿宋" w:hAnsi="仿宋" w:cs="宋体"/>
          <w:kern w:val="0"/>
          <w:sz w:val="28"/>
          <w:szCs w:val="28"/>
        </w:rPr>
        <w:br/>
        <w:t>（2）2号准则第三十条</w:t>
      </w:r>
      <w:r w:rsidR="002E0803">
        <w:rPr>
          <w:rFonts w:ascii="仿宋" w:eastAsia="仿宋" w:hAnsi="仿宋" w:cs="宋体" w:hint="eastAsia"/>
          <w:kern w:val="0"/>
          <w:sz w:val="28"/>
          <w:szCs w:val="28"/>
        </w:rPr>
        <w:t>关于</w:t>
      </w:r>
      <w:r w:rsidRPr="008A3DF2">
        <w:rPr>
          <w:rFonts w:ascii="仿宋" w:eastAsia="仿宋" w:hAnsi="仿宋" w:cs="宋体"/>
          <w:kern w:val="0"/>
          <w:sz w:val="28"/>
          <w:szCs w:val="28"/>
        </w:rPr>
        <w:t>股权激励计划相关情况</w:t>
      </w:r>
      <w:r w:rsidR="002E0803">
        <w:rPr>
          <w:rFonts w:ascii="仿宋" w:eastAsia="仿宋" w:hAnsi="仿宋" w:cs="宋体" w:hint="eastAsia"/>
          <w:kern w:val="0"/>
          <w:sz w:val="28"/>
          <w:szCs w:val="28"/>
        </w:rPr>
        <w:t>的披露完整性</w:t>
      </w:r>
      <w:r w:rsidRPr="008A3DF2">
        <w:rPr>
          <w:rFonts w:ascii="仿宋" w:eastAsia="仿宋" w:hAnsi="仿宋" w:cs="宋体"/>
          <w:kern w:val="0"/>
          <w:sz w:val="28"/>
          <w:szCs w:val="28"/>
        </w:rPr>
        <w:t>；</w:t>
      </w:r>
      <w:r w:rsidRPr="008A3DF2">
        <w:rPr>
          <w:rFonts w:ascii="仿宋" w:eastAsia="仿宋" w:hAnsi="仿宋" w:cs="宋体"/>
          <w:kern w:val="0"/>
          <w:sz w:val="28"/>
          <w:szCs w:val="28"/>
        </w:rPr>
        <w:br/>
      </w:r>
      <w:r w:rsidRPr="008A3DF2">
        <w:rPr>
          <w:rFonts w:ascii="仿宋" w:eastAsia="仿宋" w:hAnsi="仿宋" w:cs="宋体"/>
          <w:kern w:val="0"/>
          <w:sz w:val="28"/>
          <w:szCs w:val="28"/>
        </w:rPr>
        <w:lastRenderedPageBreak/>
        <w:t>（3）2号准则第四十七条</w:t>
      </w:r>
      <w:r w:rsidR="002E0803">
        <w:rPr>
          <w:rFonts w:ascii="仿宋" w:eastAsia="仿宋" w:hAnsi="仿宋" w:cs="宋体" w:hint="eastAsia"/>
          <w:kern w:val="0"/>
          <w:sz w:val="28"/>
          <w:szCs w:val="28"/>
        </w:rPr>
        <w:t>关于</w:t>
      </w:r>
      <w:r w:rsidRPr="008A3DF2">
        <w:rPr>
          <w:rFonts w:ascii="仿宋" w:eastAsia="仿宋" w:hAnsi="仿宋" w:cs="宋体"/>
          <w:kern w:val="0"/>
          <w:sz w:val="28"/>
          <w:szCs w:val="28"/>
        </w:rPr>
        <w:t>董事、监事和高级管理人员获得的股权激励情况</w:t>
      </w:r>
      <w:r w:rsidR="002E0803">
        <w:rPr>
          <w:rFonts w:ascii="仿宋" w:eastAsia="仿宋" w:hAnsi="仿宋" w:cs="宋体" w:hint="eastAsia"/>
          <w:kern w:val="0"/>
          <w:sz w:val="28"/>
          <w:szCs w:val="28"/>
        </w:rPr>
        <w:t>的披露完整性</w:t>
      </w:r>
      <w:r w:rsidRPr="008A3DF2">
        <w:rPr>
          <w:rFonts w:ascii="仿宋" w:eastAsia="仿宋" w:hAnsi="仿宋" w:cs="宋体"/>
          <w:kern w:val="0"/>
          <w:sz w:val="28"/>
          <w:szCs w:val="28"/>
        </w:rPr>
        <w:t>。</w:t>
      </w:r>
    </w:p>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00781CA9" w:rsidRPr="00781CA9">
        <w:rPr>
          <w:rFonts w:ascii="仿宋" w:eastAsia="仿宋" w:hAnsi="仿宋" w:hint="eastAsia"/>
          <w:sz w:val="28"/>
        </w:rPr>
        <w:t>涉及需披露的,请及时履行披露义务,</w:t>
      </w:r>
      <w:r w:rsidRPr="008A3DF2">
        <w:rPr>
          <w:rFonts w:ascii="仿宋" w:eastAsia="仿宋" w:hAnsi="仿宋" w:hint="eastAsia"/>
          <w:sz w:val="28"/>
        </w:rPr>
        <w:t>并在</w:t>
      </w:r>
      <w:r w:rsidR="002E0803">
        <w:rPr>
          <w:rFonts w:ascii="仿宋" w:eastAsia="仿宋" w:hAnsi="仿宋" w:hint="eastAsia"/>
          <w:sz w:val="28"/>
        </w:rPr>
        <w:t>4月20日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t>特此函告</w:t>
      </w:r>
    </w:p>
    <w:p w:rsidR="008A3DF2" w:rsidRDefault="008A3DF2" w:rsidP="008A3DF2">
      <w:pPr>
        <w:topLinePunct/>
        <w:ind w:rightChars="12" w:right="25" w:firstLine="4253"/>
        <w:jc w:val="center"/>
        <w:rPr>
          <w:rFonts w:ascii="仿宋" w:eastAsia="仿宋" w:hAnsi="仿宋"/>
          <w:sz w:val="28"/>
        </w:rPr>
      </w:pPr>
    </w:p>
    <w:p w:rsidR="00590E4C" w:rsidRDefault="00590E4C" w:rsidP="00590E4C">
      <w:pPr>
        <w:topLinePunct/>
        <w:ind w:rightChars="12" w:right="25" w:firstLine="4253"/>
        <w:jc w:val="center"/>
        <w:rPr>
          <w:rFonts w:ascii="仿宋" w:eastAsia="仿宋" w:hAnsi="仿宋"/>
          <w:b/>
          <w:sz w:val="28"/>
        </w:rPr>
      </w:pPr>
      <w:r>
        <w:rPr>
          <w:rFonts w:ascii="仿宋" w:eastAsia="仿宋" w:hAnsi="仿宋" w:hint="eastAsia"/>
          <w:b/>
          <w:sz w:val="28"/>
        </w:rPr>
        <w:t>深圳证券交易所</w:t>
      </w:r>
    </w:p>
    <w:p w:rsidR="000267A9" w:rsidRPr="00107600" w:rsidRDefault="000267A9" w:rsidP="008A3DF2">
      <w:pPr>
        <w:topLinePunct/>
        <w:ind w:rightChars="12" w:right="25" w:firstLine="4253"/>
        <w:jc w:val="center"/>
        <w:rPr>
          <w:rFonts w:ascii="仿宋" w:eastAsia="仿宋" w:hAnsi="仿宋"/>
          <w:b/>
          <w:sz w:val="28"/>
        </w:rPr>
      </w:pPr>
      <w:bookmarkStart w:id="0" w:name="_GoBack"/>
      <w:bookmarkEnd w:id="0"/>
      <w:r w:rsidRPr="00107600">
        <w:rPr>
          <w:rFonts w:ascii="仿宋" w:eastAsia="仿宋" w:hAnsi="仿宋" w:hint="eastAsia"/>
          <w:b/>
          <w:sz w:val="28"/>
        </w:rPr>
        <w:t>公司管理部</w:t>
      </w:r>
    </w:p>
    <w:p w:rsidR="00B54162" w:rsidRPr="008A3DF2" w:rsidRDefault="001E3B29" w:rsidP="00590E4C">
      <w:pPr>
        <w:topLinePunct/>
        <w:ind w:rightChars="12" w:right="25" w:firstLine="4253"/>
        <w:jc w:val="center"/>
        <w:rPr>
          <w:rFonts w:ascii="仿宋" w:eastAsia="仿宋" w:hAnsi="仿宋"/>
        </w:rPr>
      </w:pPr>
      <w:r w:rsidRPr="008A3DF2">
        <w:rPr>
          <w:rFonts w:ascii="仿宋" w:eastAsia="仿宋" w:hAnsi="仿宋"/>
          <w:sz w:val="28"/>
        </w:rPr>
        <w:t>2015年3月31日</w:t>
      </w:r>
    </w:p>
    <w:sectPr w:rsidR="00B54162" w:rsidRPr="008A3DF2"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02" w:rsidRDefault="00165402" w:rsidP="000267A9">
      <w:r>
        <w:separator/>
      </w:r>
    </w:p>
  </w:endnote>
  <w:endnote w:type="continuationSeparator" w:id="0">
    <w:p w:rsidR="00165402" w:rsidRDefault="00165402"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590E4C" w:rsidRPr="00590E4C">
      <w:rPr>
        <w:noProof/>
        <w:lang w:val="zh-CN"/>
      </w:rPr>
      <w:t>5</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02" w:rsidRDefault="00165402" w:rsidP="000267A9">
      <w:r>
        <w:separator/>
      </w:r>
    </w:p>
  </w:footnote>
  <w:footnote w:type="continuationSeparator" w:id="0">
    <w:p w:rsidR="00165402" w:rsidRDefault="00165402"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1A7FE900005412" w:val=" "/>
    <w:docVar w:name="558CFD6F0000F00F" w:val=" "/>
  </w:docVars>
  <w:rsids>
    <w:rsidRoot w:val="000267A9"/>
    <w:rsid w:val="000023A7"/>
    <w:rsid w:val="00003FCE"/>
    <w:rsid w:val="00015FC5"/>
    <w:rsid w:val="00021419"/>
    <w:rsid w:val="000267A9"/>
    <w:rsid w:val="00030605"/>
    <w:rsid w:val="0003260E"/>
    <w:rsid w:val="00036A14"/>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A5340"/>
    <w:rsid w:val="002B16BC"/>
    <w:rsid w:val="002C12DF"/>
    <w:rsid w:val="002C39AB"/>
    <w:rsid w:val="002E0803"/>
    <w:rsid w:val="002E50F0"/>
    <w:rsid w:val="002E7237"/>
    <w:rsid w:val="002F0EF7"/>
    <w:rsid w:val="002F54C3"/>
    <w:rsid w:val="003075D5"/>
    <w:rsid w:val="00313601"/>
    <w:rsid w:val="003257D9"/>
    <w:rsid w:val="00334100"/>
    <w:rsid w:val="00343E93"/>
    <w:rsid w:val="003564B2"/>
    <w:rsid w:val="003649D9"/>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158FD"/>
    <w:rsid w:val="00523903"/>
    <w:rsid w:val="00562E7B"/>
    <w:rsid w:val="005670D4"/>
    <w:rsid w:val="005725F1"/>
    <w:rsid w:val="00573E14"/>
    <w:rsid w:val="00583839"/>
    <w:rsid w:val="00590E4C"/>
    <w:rsid w:val="00594E18"/>
    <w:rsid w:val="005B20E3"/>
    <w:rsid w:val="005B329A"/>
    <w:rsid w:val="005C0E71"/>
    <w:rsid w:val="005C3F7A"/>
    <w:rsid w:val="005E3CBE"/>
    <w:rsid w:val="005F1E09"/>
    <w:rsid w:val="005F3C2C"/>
    <w:rsid w:val="005F4652"/>
    <w:rsid w:val="0060028A"/>
    <w:rsid w:val="0061286A"/>
    <w:rsid w:val="0061544D"/>
    <w:rsid w:val="00617400"/>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6F5153"/>
    <w:rsid w:val="006F6D10"/>
    <w:rsid w:val="00722EE4"/>
    <w:rsid w:val="007340A1"/>
    <w:rsid w:val="00750978"/>
    <w:rsid w:val="00750D2A"/>
    <w:rsid w:val="007539B1"/>
    <w:rsid w:val="00755CC0"/>
    <w:rsid w:val="00755E39"/>
    <w:rsid w:val="0076137E"/>
    <w:rsid w:val="007647F7"/>
    <w:rsid w:val="007712DB"/>
    <w:rsid w:val="00781CA9"/>
    <w:rsid w:val="00790B48"/>
    <w:rsid w:val="0079232F"/>
    <w:rsid w:val="007A1738"/>
    <w:rsid w:val="007B4780"/>
    <w:rsid w:val="007B51CE"/>
    <w:rsid w:val="007C2832"/>
    <w:rsid w:val="007C6760"/>
    <w:rsid w:val="007D04F3"/>
    <w:rsid w:val="007D3842"/>
    <w:rsid w:val="007D404C"/>
    <w:rsid w:val="007E3FED"/>
    <w:rsid w:val="007E464B"/>
    <w:rsid w:val="00811805"/>
    <w:rsid w:val="00832457"/>
    <w:rsid w:val="008739B5"/>
    <w:rsid w:val="00887EF9"/>
    <w:rsid w:val="008A3DF2"/>
    <w:rsid w:val="008B3F9E"/>
    <w:rsid w:val="008C35F7"/>
    <w:rsid w:val="008C594C"/>
    <w:rsid w:val="008E0B25"/>
    <w:rsid w:val="008E4FEB"/>
    <w:rsid w:val="0090664F"/>
    <w:rsid w:val="00914A3A"/>
    <w:rsid w:val="009213C3"/>
    <w:rsid w:val="00931C3D"/>
    <w:rsid w:val="0093389A"/>
    <w:rsid w:val="00934041"/>
    <w:rsid w:val="00935225"/>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890"/>
    <w:rsid w:val="00A22A0F"/>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919BC"/>
    <w:rsid w:val="00D978A6"/>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paragraph" w:styleId="a8">
    <w:name w:val="Date"/>
    <w:basedOn w:val="a"/>
    <w:next w:val="a"/>
    <w:link w:val="Char4"/>
    <w:uiPriority w:val="99"/>
    <w:semiHidden/>
    <w:unhideWhenUsed/>
    <w:rsid w:val="002E0803"/>
    <w:pPr>
      <w:ind w:leftChars="2500" w:left="100"/>
    </w:pPr>
  </w:style>
  <w:style w:type="character" w:customStyle="1" w:styleId="Char4">
    <w:name w:val="日期 Char"/>
    <w:basedOn w:val="a0"/>
    <w:link w:val="a8"/>
    <w:uiPriority w:val="99"/>
    <w:semiHidden/>
    <w:rsid w:val="002E080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3B4463"/>
    <w:rsid w:val="00475D00"/>
    <w:rsid w:val="00680DDA"/>
    <w:rsid w:val="00721DAF"/>
    <w:rsid w:val="007E5B72"/>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B6DD7FE1.dotm</Template>
  <TotalTime>0</TotalTime>
  <Pages>5</Pages>
  <Words>413</Words>
  <Characters>2360</Characters>
  <Application>Microsoft Office Word</Application>
  <DocSecurity>0</DocSecurity>
  <Lines>19</Lines>
  <Paragraphs>5</Paragraphs>
  <ScaleCrop>false</ScaleCrop>
  <Company>szse</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盛飚[bsheng]</cp:lastModifiedBy>
  <cp:revision>3</cp:revision>
  <dcterms:created xsi:type="dcterms:W3CDTF">2015-06-26T07:21:00Z</dcterms:created>
  <dcterms:modified xsi:type="dcterms:W3CDTF">2015-06-26T08:22:00Z</dcterms:modified>
</cp:coreProperties>
</file>