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75" w:rsidRDefault="00344575" w:rsidP="00344575">
      <w:pPr>
        <w:ind w:firstLine="843"/>
        <w:rPr>
          <w:rFonts w:ascii="仿宋_GB2312" w:eastAsia="仿宋_GB2312"/>
          <w:b/>
          <w:sz w:val="52"/>
          <w:szCs w:val="52"/>
        </w:rPr>
      </w:pPr>
      <w:bookmarkStart w:id="0" w:name="_GoBack"/>
      <w:bookmarkEnd w:id="0"/>
    </w:p>
    <w:p w:rsidR="00344575" w:rsidRDefault="00344575" w:rsidP="00344575">
      <w:pPr>
        <w:topLinePunct/>
        <w:jc w:val="center"/>
        <w:rPr>
          <w:sz w:val="24"/>
        </w:rPr>
      </w:pPr>
      <w:r>
        <w:rPr>
          <w:rFonts w:ascii="仿宋_GB2312" w:eastAsia="仿宋_GB2312" w:hint="eastAsia"/>
          <w:b/>
          <w:sz w:val="36"/>
          <w:szCs w:val="36"/>
        </w:rPr>
        <w:t>关于对</w:t>
      </w:r>
      <w:r w:rsidR="005D7A0F" w:rsidRPr="005D7A0F">
        <w:rPr>
          <w:rFonts w:ascii="仿宋_GB2312" w:eastAsia="仿宋_GB2312" w:hint="eastAsia"/>
          <w:b/>
          <w:sz w:val="36"/>
          <w:szCs w:val="36"/>
        </w:rPr>
        <w:t>珠海艾派克科技股份有限公司</w:t>
      </w:r>
      <w:r>
        <w:rPr>
          <w:rFonts w:ascii="仿宋_GB2312" w:eastAsia="仿宋_GB2312" w:hint="eastAsia"/>
          <w:b/>
          <w:sz w:val="36"/>
          <w:szCs w:val="36"/>
        </w:rPr>
        <w:t>的</w:t>
      </w:r>
      <w:r w:rsidR="00533642">
        <w:rPr>
          <w:rFonts w:ascii="仿宋_GB2312" w:eastAsia="仿宋_GB2312" w:hint="eastAsia"/>
          <w:b/>
          <w:sz w:val="36"/>
          <w:szCs w:val="36"/>
        </w:rPr>
        <w:t>重组</w:t>
      </w:r>
      <w:r>
        <w:rPr>
          <w:rFonts w:ascii="仿宋_GB2312" w:eastAsia="仿宋_GB2312" w:hint="eastAsia"/>
          <w:b/>
          <w:sz w:val="36"/>
          <w:szCs w:val="36"/>
        </w:rPr>
        <w:t>问询函</w:t>
      </w:r>
    </w:p>
    <w:p w:rsidR="00344575" w:rsidRDefault="00344575" w:rsidP="00344575">
      <w:pPr>
        <w:topLinePunct/>
        <w:rPr>
          <w:sz w:val="24"/>
        </w:rPr>
      </w:pPr>
    </w:p>
    <w:p w:rsidR="00344575" w:rsidRDefault="00140094" w:rsidP="00344575">
      <w:pPr>
        <w:topLinePunct/>
        <w:jc w:val="right"/>
        <w:rPr>
          <w:sz w:val="24"/>
        </w:rPr>
      </w:pPr>
      <w:r>
        <w:rPr>
          <w:rFonts w:hint="eastAsia"/>
          <w:bCs/>
          <w:sz w:val="24"/>
        </w:rPr>
        <w:t>中小</w:t>
      </w:r>
      <w:r w:rsidR="00B62D38" w:rsidRPr="00B62D38">
        <w:rPr>
          <w:rFonts w:hint="eastAsia"/>
          <w:bCs/>
          <w:sz w:val="24"/>
        </w:rPr>
        <w:t>板</w:t>
      </w:r>
      <w:r w:rsidR="00533642">
        <w:rPr>
          <w:rFonts w:hint="eastAsia"/>
          <w:bCs/>
          <w:sz w:val="24"/>
        </w:rPr>
        <w:t>重组</w:t>
      </w:r>
      <w:r w:rsidR="00344575">
        <w:rPr>
          <w:rFonts w:hint="eastAsia"/>
          <w:sz w:val="24"/>
        </w:rPr>
        <w:t>问询函</w:t>
      </w:r>
      <w:r w:rsidR="00683358">
        <w:rPr>
          <w:rFonts w:hint="eastAsia"/>
          <w:sz w:val="24"/>
        </w:rPr>
        <w:t>（</w:t>
      </w:r>
      <w:r w:rsidR="00683358" w:rsidRPr="00683358">
        <w:rPr>
          <w:rFonts w:hint="eastAsia"/>
          <w:szCs w:val="21"/>
        </w:rPr>
        <w:t>不需行政许可</w:t>
      </w:r>
      <w:r w:rsidR="00683358">
        <w:rPr>
          <w:rFonts w:hint="eastAsia"/>
          <w:sz w:val="24"/>
        </w:rPr>
        <w:t>）</w:t>
      </w:r>
      <w:r w:rsidR="00344575">
        <w:rPr>
          <w:rFonts w:hint="eastAsia"/>
          <w:sz w:val="24"/>
        </w:rPr>
        <w:t>【</w:t>
      </w:r>
      <w:r w:rsidR="000A3A84" w:rsidRPr="000A3A84">
        <w:rPr>
          <w:sz w:val="24"/>
        </w:rPr>
        <w:t>2015</w:t>
      </w:r>
      <w:r w:rsidR="00344575">
        <w:rPr>
          <w:rFonts w:hint="eastAsia"/>
          <w:sz w:val="24"/>
        </w:rPr>
        <w:t>】第</w:t>
      </w:r>
      <w:r w:rsidR="000A3A84">
        <w:rPr>
          <w:rFonts w:hint="eastAsia"/>
          <w:color w:val="FFFFFF"/>
          <w:sz w:val="24"/>
        </w:rPr>
        <w:t xml:space="preserve"> </w:t>
      </w:r>
      <w:sdt>
        <w:sdtPr>
          <w:rPr>
            <w:sz w:val="24"/>
          </w:rPr>
          <w:alias w:val="正式编号"/>
          <w:tag w:val="FormalCode"/>
          <w:id w:val="3404632"/>
          <w:placeholder>
            <w:docPart w:val="3BAFFF8029CA4CDFA8DEC9000902D581"/>
          </w:placeholder>
          <w:dataBinding w:xpath="/root[1]/formalcode[1]" w:storeItemID="{7432FFB7-6D67-404E-844B-D8A63EA52B37}"/>
          <w:text/>
        </w:sdtPr>
        <w:sdtEndPr/>
        <w:sdtContent>
          <w:r w:rsidR="000A3A84" w:rsidRPr="000A3A84">
            <w:rPr>
              <w:sz w:val="24"/>
            </w:rPr>
            <w:t>8</w:t>
          </w:r>
        </w:sdtContent>
      </w:sdt>
      <w:r w:rsidR="000A3A84">
        <w:rPr>
          <w:rFonts w:hint="eastAsia"/>
          <w:color w:val="FFFFFF"/>
          <w:sz w:val="24"/>
        </w:rPr>
        <w:t xml:space="preserve"> </w:t>
      </w:r>
      <w:r w:rsidR="00344575">
        <w:rPr>
          <w:rFonts w:hint="eastAsia"/>
          <w:sz w:val="24"/>
        </w:rPr>
        <w:t>号</w:t>
      </w:r>
    </w:p>
    <w:p w:rsidR="00344575" w:rsidRDefault="00344575" w:rsidP="00344575">
      <w:pPr>
        <w:topLinePunct/>
        <w:jc w:val="center"/>
        <w:rPr>
          <w:sz w:val="24"/>
        </w:rPr>
      </w:pPr>
    </w:p>
    <w:p w:rsidR="00344575" w:rsidRDefault="00344575" w:rsidP="00344575">
      <w:pPr>
        <w:rPr>
          <w:sz w:val="24"/>
        </w:rPr>
      </w:pPr>
    </w:p>
    <w:p w:rsidR="00344575" w:rsidRDefault="005D7A0F" w:rsidP="00344575">
      <w:pPr>
        <w:rPr>
          <w:rFonts w:eastAsia="黑体"/>
          <w:b/>
          <w:sz w:val="28"/>
        </w:rPr>
      </w:pPr>
      <w:r w:rsidRPr="005D7A0F">
        <w:rPr>
          <w:rFonts w:eastAsia="黑体"/>
          <w:b/>
          <w:sz w:val="28"/>
        </w:rPr>
        <w:t>珠海艾派克科技股份有限公司</w:t>
      </w:r>
      <w:r w:rsidR="00344575">
        <w:rPr>
          <w:rFonts w:eastAsia="黑体" w:hint="eastAsia"/>
          <w:b/>
          <w:sz w:val="28"/>
        </w:rPr>
        <w:t>董事会：</w:t>
      </w:r>
    </w:p>
    <w:p w:rsidR="00533642" w:rsidRDefault="008227C9" w:rsidP="008227C9">
      <w:pPr>
        <w:rPr>
          <w:rFonts w:ascii="宋体" w:hAnsi="宋体"/>
          <w:sz w:val="28"/>
          <w:szCs w:val="28"/>
        </w:rPr>
      </w:pPr>
      <w:r>
        <w:rPr>
          <w:rFonts w:hint="eastAsia"/>
          <w:b/>
          <w:bCs/>
          <w:sz w:val="28"/>
          <w:szCs w:val="28"/>
        </w:rPr>
        <w:t xml:space="preserve">    </w:t>
      </w:r>
      <w:r w:rsidRPr="00854B27">
        <w:rPr>
          <w:rFonts w:ascii="宋体" w:hAnsi="宋体" w:hint="eastAsia"/>
          <w:sz w:val="28"/>
          <w:szCs w:val="28"/>
        </w:rPr>
        <w:t>2015年5</w:t>
      </w:r>
      <w:r w:rsidR="00533642">
        <w:rPr>
          <w:rFonts w:ascii="宋体" w:hAnsi="宋体" w:hint="eastAsia"/>
          <w:sz w:val="28"/>
          <w:szCs w:val="28"/>
        </w:rPr>
        <w:t>月</w:t>
      </w:r>
      <w:r>
        <w:rPr>
          <w:rFonts w:ascii="宋体" w:hAnsi="宋体" w:hint="eastAsia"/>
          <w:sz w:val="28"/>
          <w:szCs w:val="28"/>
        </w:rPr>
        <w:t>8</w:t>
      </w:r>
      <w:r w:rsidR="00533642">
        <w:rPr>
          <w:rFonts w:ascii="宋体" w:hAnsi="宋体" w:hint="eastAsia"/>
          <w:sz w:val="28"/>
          <w:szCs w:val="28"/>
        </w:rPr>
        <w:t>日，你公司</w:t>
      </w:r>
      <w:r w:rsidR="00630368">
        <w:rPr>
          <w:rFonts w:ascii="宋体" w:hAnsi="宋体" w:hint="eastAsia"/>
          <w:sz w:val="28"/>
          <w:szCs w:val="28"/>
        </w:rPr>
        <w:t>直通</w:t>
      </w:r>
      <w:r w:rsidR="00533642">
        <w:rPr>
          <w:rFonts w:ascii="宋体" w:hAnsi="宋体" w:hint="eastAsia"/>
          <w:sz w:val="28"/>
          <w:szCs w:val="28"/>
        </w:rPr>
        <w:t>披露了《</w:t>
      </w:r>
      <w:r>
        <w:rPr>
          <w:rFonts w:hint="eastAsia"/>
          <w:kern w:val="0"/>
          <w:sz w:val="28"/>
          <w:szCs w:val="28"/>
        </w:rPr>
        <w:t>珠海艾派克科技股份有限公司重大资产购买预案</w:t>
      </w:r>
      <w:r w:rsidR="00533642">
        <w:rPr>
          <w:rFonts w:ascii="宋体" w:hAnsi="宋体" w:hint="eastAsia"/>
          <w:sz w:val="28"/>
          <w:szCs w:val="28"/>
        </w:rPr>
        <w:t>》（以下简称“</w:t>
      </w:r>
      <w:r>
        <w:rPr>
          <w:rFonts w:hint="eastAsia"/>
          <w:kern w:val="0"/>
          <w:sz w:val="28"/>
          <w:szCs w:val="28"/>
        </w:rPr>
        <w:t>重组预案”</w:t>
      </w:r>
      <w:r w:rsidR="00533642">
        <w:rPr>
          <w:rFonts w:ascii="宋体" w:hAnsi="宋体" w:hint="eastAsia"/>
          <w:sz w:val="28"/>
          <w:szCs w:val="28"/>
        </w:rPr>
        <w:t>）</w:t>
      </w:r>
      <w:r w:rsidR="00630368">
        <w:rPr>
          <w:rFonts w:ascii="宋体" w:hAnsi="宋体" w:hint="eastAsia"/>
          <w:sz w:val="28"/>
          <w:szCs w:val="28"/>
        </w:rPr>
        <w:t>。</w:t>
      </w:r>
      <w:r w:rsidR="00533642">
        <w:rPr>
          <w:rFonts w:ascii="宋体" w:hAnsi="宋体" w:hint="eastAsia"/>
          <w:sz w:val="28"/>
          <w:szCs w:val="28"/>
        </w:rPr>
        <w:t>我部对</w:t>
      </w:r>
      <w:r w:rsidR="00630368">
        <w:rPr>
          <w:rFonts w:ascii="宋体" w:hAnsi="宋体" w:hint="eastAsia"/>
          <w:sz w:val="28"/>
          <w:szCs w:val="28"/>
        </w:rPr>
        <w:t>上述</w:t>
      </w:r>
      <w:r w:rsidR="00533642">
        <w:rPr>
          <w:rFonts w:ascii="宋体" w:hAnsi="宋体" w:hint="eastAsia"/>
          <w:sz w:val="28"/>
          <w:szCs w:val="28"/>
        </w:rPr>
        <w:t>披露文件进行了形式审查，请</w:t>
      </w:r>
      <w:r w:rsidR="00A20D01">
        <w:rPr>
          <w:rFonts w:ascii="宋体" w:hAnsi="宋体" w:hint="eastAsia"/>
          <w:sz w:val="28"/>
          <w:szCs w:val="28"/>
        </w:rPr>
        <w:t>你公司补充披露以下内容</w:t>
      </w:r>
      <w:r w:rsidR="00533642">
        <w:rPr>
          <w:rFonts w:ascii="宋体" w:hAnsi="宋体" w:hint="eastAsia"/>
          <w:sz w:val="28"/>
          <w:szCs w:val="28"/>
        </w:rPr>
        <w:t>：</w:t>
      </w:r>
    </w:p>
    <w:p w:rsidR="008227C9" w:rsidRDefault="00344575" w:rsidP="008227C9">
      <w:pPr>
        <w:outlineLvl w:val="0"/>
        <w:rPr>
          <w:sz w:val="28"/>
          <w:szCs w:val="28"/>
        </w:rPr>
      </w:pPr>
      <w:r>
        <w:rPr>
          <w:rFonts w:hint="eastAsia"/>
          <w:sz w:val="28"/>
          <w:szCs w:val="28"/>
        </w:rPr>
        <w:t xml:space="preserve">    </w:t>
      </w:r>
      <w:r w:rsidR="008227C9">
        <w:rPr>
          <w:sz w:val="28"/>
          <w:szCs w:val="28"/>
        </w:rPr>
        <w:t>1</w:t>
      </w:r>
      <w:r w:rsidR="008227C9">
        <w:rPr>
          <w:rFonts w:hint="eastAsia"/>
          <w:sz w:val="28"/>
          <w:szCs w:val="28"/>
        </w:rPr>
        <w:t>、本次重组完成后，标的公司</w:t>
      </w:r>
      <w:r w:rsidR="008227C9">
        <w:rPr>
          <w:sz w:val="28"/>
          <w:szCs w:val="28"/>
        </w:rPr>
        <w:t>SCC</w:t>
      </w:r>
      <w:r w:rsidR="008227C9">
        <w:rPr>
          <w:rFonts w:hint="eastAsia"/>
          <w:sz w:val="28"/>
          <w:szCs w:val="28"/>
        </w:rPr>
        <w:t>公司（以下简称“标的公司”）将成为你公司的海外全资下属公司。请补充披露重组完成后</w:t>
      </w:r>
      <w:r w:rsidR="00A20D01">
        <w:rPr>
          <w:rFonts w:hint="eastAsia"/>
          <w:sz w:val="28"/>
          <w:szCs w:val="28"/>
        </w:rPr>
        <w:t>，</w:t>
      </w:r>
      <w:r w:rsidR="008227C9">
        <w:rPr>
          <w:rFonts w:hint="eastAsia"/>
          <w:sz w:val="28"/>
          <w:szCs w:val="28"/>
        </w:rPr>
        <w:t>你公司</w:t>
      </w:r>
      <w:r w:rsidR="00A20D01">
        <w:rPr>
          <w:rFonts w:hint="eastAsia"/>
          <w:sz w:val="28"/>
          <w:szCs w:val="28"/>
        </w:rPr>
        <w:t>为</w:t>
      </w:r>
      <w:r w:rsidR="008227C9">
        <w:rPr>
          <w:rFonts w:hint="eastAsia"/>
          <w:sz w:val="28"/>
          <w:szCs w:val="28"/>
        </w:rPr>
        <w:t>有效控制</w:t>
      </w:r>
      <w:r w:rsidR="00A20D01">
        <w:rPr>
          <w:rFonts w:hint="eastAsia"/>
          <w:sz w:val="28"/>
          <w:szCs w:val="28"/>
        </w:rPr>
        <w:t>标的公司</w:t>
      </w:r>
      <w:r w:rsidR="008227C9">
        <w:rPr>
          <w:rFonts w:hint="eastAsia"/>
          <w:sz w:val="28"/>
          <w:szCs w:val="28"/>
        </w:rPr>
        <w:t>拟采取的措施和整合计划。</w:t>
      </w:r>
    </w:p>
    <w:p w:rsidR="008227C9" w:rsidRDefault="008227C9" w:rsidP="008227C9">
      <w:pPr>
        <w:ind w:firstLine="570"/>
        <w:outlineLvl w:val="0"/>
        <w:rPr>
          <w:sz w:val="28"/>
          <w:szCs w:val="28"/>
        </w:rPr>
      </w:pPr>
      <w:r>
        <w:rPr>
          <w:sz w:val="28"/>
          <w:szCs w:val="28"/>
        </w:rPr>
        <w:t>2</w:t>
      </w:r>
      <w:r>
        <w:rPr>
          <w:rFonts w:hint="eastAsia"/>
          <w:sz w:val="28"/>
          <w:szCs w:val="28"/>
        </w:rPr>
        <w:t>、标的公司</w:t>
      </w:r>
      <w:r>
        <w:rPr>
          <w:sz w:val="28"/>
          <w:szCs w:val="28"/>
        </w:rPr>
        <w:t>2014</w:t>
      </w:r>
      <w:r>
        <w:rPr>
          <w:rFonts w:hint="eastAsia"/>
          <w:sz w:val="28"/>
          <w:szCs w:val="28"/>
        </w:rPr>
        <w:t>年营业收入</w:t>
      </w:r>
      <w:r>
        <w:rPr>
          <w:sz w:val="28"/>
          <w:szCs w:val="28"/>
        </w:rPr>
        <w:t>19,446.02</w:t>
      </w:r>
      <w:r>
        <w:rPr>
          <w:rFonts w:hint="eastAsia"/>
          <w:sz w:val="28"/>
          <w:szCs w:val="28"/>
        </w:rPr>
        <w:t>万美元，较</w:t>
      </w:r>
      <w:r>
        <w:rPr>
          <w:sz w:val="28"/>
          <w:szCs w:val="28"/>
        </w:rPr>
        <w:t>2013</w:t>
      </w:r>
      <w:r>
        <w:rPr>
          <w:rFonts w:hint="eastAsia"/>
          <w:sz w:val="28"/>
          <w:szCs w:val="28"/>
        </w:rPr>
        <w:t>年下降</w:t>
      </w:r>
      <w:r>
        <w:rPr>
          <w:sz w:val="28"/>
          <w:szCs w:val="28"/>
        </w:rPr>
        <w:t>18.37%</w:t>
      </w:r>
      <w:r>
        <w:rPr>
          <w:rFonts w:hint="eastAsia"/>
          <w:sz w:val="28"/>
          <w:szCs w:val="28"/>
        </w:rPr>
        <w:t>；净利润</w:t>
      </w:r>
      <w:r>
        <w:rPr>
          <w:sz w:val="28"/>
          <w:szCs w:val="28"/>
        </w:rPr>
        <w:t>274.90</w:t>
      </w:r>
      <w:r>
        <w:rPr>
          <w:rFonts w:hint="eastAsia"/>
          <w:sz w:val="28"/>
          <w:szCs w:val="28"/>
        </w:rPr>
        <w:t>万美元，较</w:t>
      </w:r>
      <w:r>
        <w:rPr>
          <w:sz w:val="28"/>
          <w:szCs w:val="28"/>
        </w:rPr>
        <w:t>2013</w:t>
      </w:r>
      <w:r>
        <w:rPr>
          <w:rFonts w:hint="eastAsia"/>
          <w:sz w:val="28"/>
          <w:szCs w:val="28"/>
        </w:rPr>
        <w:t>年下降</w:t>
      </w:r>
      <w:r>
        <w:rPr>
          <w:sz w:val="28"/>
          <w:szCs w:val="28"/>
        </w:rPr>
        <w:t>82.35%</w:t>
      </w:r>
      <w:r>
        <w:rPr>
          <w:rFonts w:hint="eastAsia"/>
          <w:sz w:val="28"/>
          <w:szCs w:val="28"/>
        </w:rPr>
        <w:t>。请补充披露标的公司业绩大幅下滑的原因。</w:t>
      </w:r>
    </w:p>
    <w:p w:rsidR="008227C9" w:rsidRDefault="008227C9" w:rsidP="008227C9">
      <w:pPr>
        <w:ind w:firstLine="570"/>
        <w:outlineLvl w:val="0"/>
        <w:rPr>
          <w:sz w:val="28"/>
          <w:szCs w:val="28"/>
        </w:rPr>
      </w:pPr>
      <w:r>
        <w:rPr>
          <w:sz w:val="28"/>
          <w:szCs w:val="28"/>
        </w:rPr>
        <w:t>3</w:t>
      </w:r>
      <w:r>
        <w:rPr>
          <w:rFonts w:hint="eastAsia"/>
          <w:sz w:val="28"/>
          <w:szCs w:val="28"/>
        </w:rPr>
        <w:t>、本次交易总对价约</w:t>
      </w:r>
      <w:r>
        <w:rPr>
          <w:sz w:val="28"/>
          <w:szCs w:val="28"/>
        </w:rPr>
        <w:t>6,297</w:t>
      </w:r>
      <w:r>
        <w:rPr>
          <w:rFonts w:hint="eastAsia"/>
          <w:sz w:val="28"/>
          <w:szCs w:val="28"/>
        </w:rPr>
        <w:t>万美元，包括</w:t>
      </w:r>
      <w:r w:rsidR="00A20D01">
        <w:rPr>
          <w:rFonts w:hint="eastAsia"/>
          <w:sz w:val="28"/>
          <w:szCs w:val="28"/>
        </w:rPr>
        <w:t>评估的</w:t>
      </w:r>
      <w:r>
        <w:rPr>
          <w:rFonts w:hint="eastAsia"/>
          <w:sz w:val="28"/>
          <w:szCs w:val="28"/>
        </w:rPr>
        <w:t>标的公司股权价值</w:t>
      </w:r>
      <w:r>
        <w:rPr>
          <w:sz w:val="28"/>
          <w:szCs w:val="28"/>
        </w:rPr>
        <w:t>2,438</w:t>
      </w:r>
      <w:r>
        <w:rPr>
          <w:rFonts w:hint="eastAsia"/>
          <w:sz w:val="28"/>
          <w:szCs w:val="28"/>
        </w:rPr>
        <w:t>万美元和股东借款</w:t>
      </w:r>
      <w:r>
        <w:rPr>
          <w:sz w:val="28"/>
          <w:szCs w:val="28"/>
        </w:rPr>
        <w:t>3,858</w:t>
      </w:r>
      <w:r>
        <w:rPr>
          <w:rFonts w:hint="eastAsia"/>
          <w:sz w:val="28"/>
          <w:szCs w:val="28"/>
        </w:rPr>
        <w:t>万美元。请补充披露：（</w:t>
      </w:r>
      <w:r>
        <w:rPr>
          <w:sz w:val="28"/>
          <w:szCs w:val="28"/>
        </w:rPr>
        <w:t>1</w:t>
      </w:r>
      <w:r>
        <w:rPr>
          <w:rFonts w:hint="eastAsia"/>
          <w:sz w:val="28"/>
          <w:szCs w:val="28"/>
        </w:rPr>
        <w:t>）预估定价方法</w:t>
      </w:r>
      <w:r w:rsidR="00A20D01">
        <w:rPr>
          <w:rFonts w:hint="eastAsia"/>
          <w:sz w:val="28"/>
          <w:szCs w:val="28"/>
        </w:rPr>
        <w:t>、</w:t>
      </w:r>
      <w:r>
        <w:rPr>
          <w:rFonts w:hint="eastAsia"/>
          <w:sz w:val="28"/>
          <w:szCs w:val="28"/>
        </w:rPr>
        <w:t>定价依据和估</w:t>
      </w:r>
      <w:r w:rsidR="00A20D01">
        <w:rPr>
          <w:rFonts w:hint="eastAsia"/>
          <w:sz w:val="28"/>
          <w:szCs w:val="28"/>
        </w:rPr>
        <w:t>值</w:t>
      </w:r>
      <w:r>
        <w:rPr>
          <w:rFonts w:hint="eastAsia"/>
          <w:sz w:val="28"/>
          <w:szCs w:val="28"/>
        </w:rPr>
        <w:t>高于账面净资产的原因；（</w:t>
      </w:r>
      <w:r>
        <w:rPr>
          <w:sz w:val="28"/>
          <w:szCs w:val="28"/>
        </w:rPr>
        <w:t>2</w:t>
      </w:r>
      <w:r>
        <w:rPr>
          <w:rFonts w:hint="eastAsia"/>
          <w:sz w:val="28"/>
          <w:szCs w:val="28"/>
        </w:rPr>
        <w:t>）交易总对价中包含股东借款对</w:t>
      </w:r>
      <w:r w:rsidR="00A20D01">
        <w:rPr>
          <w:rFonts w:hint="eastAsia"/>
          <w:sz w:val="28"/>
          <w:szCs w:val="28"/>
        </w:rPr>
        <w:t>估值</w:t>
      </w:r>
      <w:r>
        <w:rPr>
          <w:rFonts w:hint="eastAsia"/>
          <w:sz w:val="28"/>
          <w:szCs w:val="28"/>
        </w:rPr>
        <w:t>的影响。</w:t>
      </w:r>
    </w:p>
    <w:p w:rsidR="008227C9" w:rsidRDefault="008227C9" w:rsidP="008227C9">
      <w:pPr>
        <w:ind w:firstLine="570"/>
        <w:outlineLvl w:val="0"/>
        <w:rPr>
          <w:sz w:val="28"/>
          <w:szCs w:val="28"/>
        </w:rPr>
      </w:pPr>
      <w:r>
        <w:rPr>
          <w:sz w:val="28"/>
          <w:szCs w:val="28"/>
        </w:rPr>
        <w:t>4</w:t>
      </w:r>
      <w:r>
        <w:rPr>
          <w:rFonts w:hint="eastAsia"/>
          <w:sz w:val="28"/>
          <w:szCs w:val="28"/>
        </w:rPr>
        <w:t>、根据重组预案，标的公司最近两年主要财务数据未经你公司本次重组审计机构德勤华永会计师事务所审计，请对此</w:t>
      </w:r>
      <w:r w:rsidR="00573515">
        <w:rPr>
          <w:rFonts w:hint="eastAsia"/>
          <w:sz w:val="28"/>
          <w:szCs w:val="28"/>
        </w:rPr>
        <w:t>进行</w:t>
      </w:r>
      <w:r>
        <w:rPr>
          <w:rFonts w:hint="eastAsia"/>
          <w:sz w:val="28"/>
          <w:szCs w:val="28"/>
        </w:rPr>
        <w:t>说明和风</w:t>
      </w:r>
      <w:r>
        <w:rPr>
          <w:rFonts w:hint="eastAsia"/>
          <w:sz w:val="28"/>
          <w:szCs w:val="28"/>
        </w:rPr>
        <w:lastRenderedPageBreak/>
        <w:t>险提示。同时</w:t>
      </w:r>
      <w:r w:rsidR="00A20D01">
        <w:rPr>
          <w:rFonts w:hint="eastAsia"/>
          <w:sz w:val="28"/>
          <w:szCs w:val="28"/>
        </w:rPr>
        <w:t>,</w:t>
      </w:r>
      <w:r>
        <w:rPr>
          <w:rFonts w:hint="eastAsia"/>
          <w:sz w:val="28"/>
          <w:szCs w:val="28"/>
        </w:rPr>
        <w:t>请补充披露标的公司</w:t>
      </w:r>
      <w:r w:rsidR="00573515">
        <w:rPr>
          <w:rFonts w:hint="eastAsia"/>
          <w:sz w:val="28"/>
          <w:szCs w:val="28"/>
        </w:rPr>
        <w:t>主要</w:t>
      </w:r>
      <w:r>
        <w:rPr>
          <w:rFonts w:hint="eastAsia"/>
          <w:sz w:val="28"/>
          <w:szCs w:val="28"/>
        </w:rPr>
        <w:t>财务数据是否按照与上市公司一致的会计准则编制，若存在</w:t>
      </w:r>
      <w:r w:rsidR="00573515">
        <w:rPr>
          <w:rFonts w:hint="eastAsia"/>
          <w:sz w:val="28"/>
          <w:szCs w:val="28"/>
        </w:rPr>
        <w:t>较大</w:t>
      </w:r>
      <w:r>
        <w:rPr>
          <w:rFonts w:hint="eastAsia"/>
          <w:sz w:val="28"/>
          <w:szCs w:val="28"/>
        </w:rPr>
        <w:t>差异，请补充披露会计准则差异调节表，并请中介机构发表明确意见。</w:t>
      </w:r>
    </w:p>
    <w:p w:rsidR="008227C9" w:rsidRDefault="008227C9" w:rsidP="008227C9">
      <w:pPr>
        <w:spacing w:line="360" w:lineRule="auto"/>
        <w:ind w:firstLineChars="200" w:firstLine="560"/>
        <w:rPr>
          <w:sz w:val="28"/>
          <w:szCs w:val="28"/>
        </w:rPr>
      </w:pPr>
      <w:r>
        <w:rPr>
          <w:sz w:val="28"/>
          <w:szCs w:val="28"/>
        </w:rPr>
        <w:t>5</w:t>
      </w:r>
      <w:r>
        <w:rPr>
          <w:rFonts w:hint="eastAsia"/>
          <w:sz w:val="28"/>
          <w:szCs w:val="28"/>
        </w:rPr>
        <w:t>、请按产品分类，补充披露标的</w:t>
      </w:r>
      <w:r w:rsidR="00D34256">
        <w:rPr>
          <w:rFonts w:hint="eastAsia"/>
          <w:sz w:val="28"/>
          <w:szCs w:val="28"/>
        </w:rPr>
        <w:t>公司</w:t>
      </w:r>
      <w:r>
        <w:rPr>
          <w:rFonts w:hint="eastAsia"/>
          <w:sz w:val="28"/>
          <w:szCs w:val="28"/>
        </w:rPr>
        <w:t>最近两年营业收入及毛利率情况。</w:t>
      </w:r>
    </w:p>
    <w:p w:rsidR="008227C9" w:rsidRDefault="008227C9" w:rsidP="008227C9">
      <w:pPr>
        <w:pStyle w:val="ac"/>
        <w:spacing w:line="360" w:lineRule="auto"/>
        <w:ind w:firstLine="560"/>
        <w:rPr>
          <w:sz w:val="28"/>
          <w:szCs w:val="28"/>
        </w:rPr>
      </w:pPr>
      <w:r>
        <w:rPr>
          <w:sz w:val="28"/>
          <w:szCs w:val="28"/>
        </w:rPr>
        <w:t>6</w:t>
      </w:r>
      <w:r>
        <w:rPr>
          <w:rFonts w:hint="eastAsia"/>
          <w:sz w:val="28"/>
          <w:szCs w:val="28"/>
        </w:rPr>
        <w:t>、重组预案显示，标的公司</w:t>
      </w:r>
      <w:r>
        <w:rPr>
          <w:sz w:val="28"/>
          <w:szCs w:val="28"/>
        </w:rPr>
        <w:t>2014</w:t>
      </w:r>
      <w:r>
        <w:rPr>
          <w:rFonts w:hint="eastAsia"/>
          <w:sz w:val="28"/>
          <w:szCs w:val="28"/>
        </w:rPr>
        <w:t>年利润率仅为</w:t>
      </w:r>
      <w:r>
        <w:rPr>
          <w:sz w:val="28"/>
          <w:szCs w:val="28"/>
        </w:rPr>
        <w:t>2%</w:t>
      </w:r>
      <w:r>
        <w:rPr>
          <w:rFonts w:hint="eastAsia"/>
          <w:sz w:val="28"/>
          <w:szCs w:val="28"/>
        </w:rPr>
        <w:t>。请补充披露本次重组是否有利于增强上市公司持续经营能力，是否符合《重组管理办法》第十一条第五款的规定。</w:t>
      </w:r>
    </w:p>
    <w:p w:rsidR="008227C9" w:rsidRDefault="008227C9" w:rsidP="008227C9">
      <w:pPr>
        <w:pStyle w:val="ac"/>
        <w:spacing w:line="360" w:lineRule="auto"/>
        <w:ind w:firstLineChars="0" w:firstLine="0"/>
        <w:rPr>
          <w:sz w:val="28"/>
          <w:szCs w:val="28"/>
        </w:rPr>
      </w:pPr>
      <w:r>
        <w:rPr>
          <w:sz w:val="28"/>
          <w:szCs w:val="28"/>
        </w:rPr>
        <w:t xml:space="preserve">    7</w:t>
      </w:r>
      <w:r>
        <w:rPr>
          <w:rFonts w:hint="eastAsia"/>
          <w:sz w:val="28"/>
          <w:szCs w:val="28"/>
        </w:rPr>
        <w:t>、标的公司主营业务与你公司控股股东赛纳科技存在同业竞争。虽然你公司</w:t>
      </w:r>
      <w:r w:rsidR="00A20D01">
        <w:rPr>
          <w:rFonts w:hint="eastAsia"/>
          <w:sz w:val="28"/>
          <w:szCs w:val="28"/>
        </w:rPr>
        <w:t>控股股东</w:t>
      </w:r>
      <w:r>
        <w:rPr>
          <w:rFonts w:hint="eastAsia"/>
          <w:sz w:val="28"/>
          <w:szCs w:val="28"/>
        </w:rPr>
        <w:t>拟将</w:t>
      </w:r>
      <w:r w:rsidR="00131B90">
        <w:rPr>
          <w:rFonts w:hint="eastAsia"/>
          <w:sz w:val="28"/>
          <w:szCs w:val="28"/>
        </w:rPr>
        <w:t>其持有的</w:t>
      </w:r>
      <w:r>
        <w:rPr>
          <w:rFonts w:hint="eastAsia"/>
          <w:sz w:val="28"/>
          <w:szCs w:val="28"/>
        </w:rPr>
        <w:t>耗材业务资产全部注入上市公司，但该事项尚存在不确定性。请</w:t>
      </w:r>
      <w:r w:rsidR="00D34256">
        <w:rPr>
          <w:rFonts w:hint="eastAsia"/>
          <w:sz w:val="28"/>
          <w:szCs w:val="28"/>
        </w:rPr>
        <w:t>补</w:t>
      </w:r>
      <w:r>
        <w:rPr>
          <w:rFonts w:hint="eastAsia"/>
          <w:sz w:val="28"/>
          <w:szCs w:val="28"/>
        </w:rPr>
        <w:t>充披露赛纳科技耗材业务注入上市公司可能失败导致的同业竞争风险，以及</w:t>
      </w:r>
      <w:r w:rsidR="00573515">
        <w:rPr>
          <w:rFonts w:hint="eastAsia"/>
          <w:sz w:val="28"/>
          <w:szCs w:val="28"/>
        </w:rPr>
        <w:t>你</w:t>
      </w:r>
      <w:r>
        <w:rPr>
          <w:rFonts w:hint="eastAsia"/>
          <w:sz w:val="28"/>
          <w:szCs w:val="28"/>
        </w:rPr>
        <w:t>公司拟采取的应对措施。</w:t>
      </w:r>
    </w:p>
    <w:p w:rsidR="00131B90" w:rsidRDefault="00131B90" w:rsidP="00131B90">
      <w:pPr>
        <w:ind w:firstLineChars="228" w:firstLine="638"/>
        <w:rPr>
          <w:sz w:val="28"/>
        </w:rPr>
      </w:pPr>
      <w:r>
        <w:rPr>
          <w:rFonts w:ascii="宋体" w:hAnsi="宋体" w:hint="eastAsia"/>
          <w:sz w:val="28"/>
        </w:rPr>
        <w:t>请你公司就上述问题做</w:t>
      </w:r>
      <w:r>
        <w:rPr>
          <w:rFonts w:hint="eastAsia"/>
          <w:sz w:val="28"/>
        </w:rPr>
        <w:t>出书面说明，并在</w:t>
      </w:r>
      <w:r>
        <w:rPr>
          <w:rFonts w:hint="eastAsia"/>
          <w:sz w:val="28"/>
        </w:rPr>
        <w:t>5</w:t>
      </w:r>
      <w:r>
        <w:rPr>
          <w:rFonts w:hint="eastAsia"/>
          <w:sz w:val="28"/>
        </w:rPr>
        <w:t>月</w:t>
      </w:r>
      <w:r>
        <w:rPr>
          <w:rFonts w:hint="eastAsia"/>
          <w:sz w:val="28"/>
        </w:rPr>
        <w:t>18</w:t>
      </w:r>
      <w:r>
        <w:rPr>
          <w:rFonts w:hint="eastAsia"/>
          <w:sz w:val="28"/>
        </w:rPr>
        <w:t>日前将有关说明材料对外披露并报送我部。</w:t>
      </w:r>
    </w:p>
    <w:p w:rsidR="00854B27" w:rsidRDefault="008227C9" w:rsidP="00344575">
      <w:pPr>
        <w:topLinePunct/>
        <w:rPr>
          <w:sz w:val="28"/>
          <w:szCs w:val="28"/>
        </w:rPr>
      </w:pPr>
      <w:r>
        <w:rPr>
          <w:rFonts w:hint="eastAsia"/>
          <w:sz w:val="28"/>
          <w:szCs w:val="28"/>
        </w:rPr>
        <w:t xml:space="preserve"> </w:t>
      </w:r>
      <w:r w:rsidR="00344575">
        <w:rPr>
          <w:rFonts w:hint="eastAsia"/>
          <w:sz w:val="28"/>
          <w:szCs w:val="28"/>
        </w:rPr>
        <w:t xml:space="preserve">  </w:t>
      </w:r>
    </w:p>
    <w:p w:rsidR="00344575" w:rsidRDefault="00344575" w:rsidP="00344575">
      <w:pPr>
        <w:topLinePunct/>
        <w:rPr>
          <w:sz w:val="28"/>
        </w:rPr>
      </w:pPr>
      <w:r>
        <w:rPr>
          <w:rFonts w:hint="eastAsia"/>
          <w:sz w:val="28"/>
          <w:szCs w:val="28"/>
        </w:rPr>
        <w:t xml:space="preserve"> </w:t>
      </w:r>
      <w:r w:rsidR="00854B27">
        <w:rPr>
          <w:rFonts w:hint="eastAsia"/>
          <w:sz w:val="28"/>
          <w:szCs w:val="28"/>
        </w:rPr>
        <w:t xml:space="preserve">   </w:t>
      </w:r>
      <w:r>
        <w:rPr>
          <w:rFonts w:hint="eastAsia"/>
          <w:sz w:val="28"/>
        </w:rPr>
        <w:t>特此函告。</w:t>
      </w:r>
      <w:r>
        <w:rPr>
          <w:rFonts w:hint="eastAsia"/>
          <w:sz w:val="28"/>
        </w:rPr>
        <w:t xml:space="preserve">                                                          </w:t>
      </w:r>
    </w:p>
    <w:p w:rsidR="00344575" w:rsidRDefault="00344575" w:rsidP="00344575">
      <w:pPr>
        <w:topLinePunct/>
        <w:ind w:rightChars="12" w:right="25" w:firstLine="538"/>
        <w:jc w:val="center"/>
        <w:rPr>
          <w:sz w:val="28"/>
        </w:rPr>
      </w:pPr>
      <w:r>
        <w:rPr>
          <w:rFonts w:hint="eastAsia"/>
          <w:sz w:val="28"/>
        </w:rPr>
        <w:t xml:space="preserve">  </w:t>
      </w:r>
    </w:p>
    <w:p w:rsidR="00344575" w:rsidRDefault="00344575" w:rsidP="00344575">
      <w:pPr>
        <w:topLinePunct/>
        <w:ind w:rightChars="12" w:right="25" w:firstLine="538"/>
        <w:jc w:val="center"/>
        <w:rPr>
          <w:sz w:val="28"/>
        </w:rPr>
      </w:pPr>
    </w:p>
    <w:p w:rsidR="00533642" w:rsidRDefault="00F42A19" w:rsidP="00344575">
      <w:pPr>
        <w:topLinePunct/>
        <w:ind w:rightChars="12" w:right="25" w:firstLine="538"/>
        <w:jc w:val="center"/>
        <w:rPr>
          <w:sz w:val="28"/>
        </w:rPr>
      </w:pPr>
      <w:r>
        <w:rPr>
          <w:rFonts w:hint="eastAsia"/>
          <w:sz w:val="28"/>
        </w:rPr>
        <w:t xml:space="preserve">                                      </w:t>
      </w:r>
      <w:r>
        <w:rPr>
          <w:rFonts w:hint="eastAsia"/>
          <w:sz w:val="28"/>
        </w:rPr>
        <w:t>深圳证券交易所</w:t>
      </w:r>
    </w:p>
    <w:p w:rsidR="00344575" w:rsidRDefault="00344575" w:rsidP="00BD455E">
      <w:pPr>
        <w:topLinePunct/>
        <w:ind w:rightChars="12" w:right="25" w:firstLine="538"/>
        <w:jc w:val="right"/>
        <w:rPr>
          <w:sz w:val="28"/>
        </w:rPr>
      </w:pPr>
      <w:r>
        <w:rPr>
          <w:rFonts w:hint="eastAsia"/>
          <w:sz w:val="28"/>
        </w:rPr>
        <w:t xml:space="preserve">                          </w:t>
      </w:r>
      <w:r w:rsidR="00140094">
        <w:rPr>
          <w:rFonts w:hint="eastAsia"/>
          <w:bCs/>
          <w:sz w:val="28"/>
        </w:rPr>
        <w:t>中小</w:t>
      </w:r>
      <w:r w:rsidR="00B62D38" w:rsidRPr="00B62D38">
        <w:rPr>
          <w:rFonts w:hint="eastAsia"/>
          <w:bCs/>
          <w:sz w:val="28"/>
        </w:rPr>
        <w:t>板</w:t>
      </w:r>
      <w:r w:rsidRPr="00494E12">
        <w:rPr>
          <w:rFonts w:hint="eastAsia"/>
          <w:sz w:val="28"/>
        </w:rPr>
        <w:t>公司管理部</w:t>
      </w:r>
    </w:p>
    <w:p w:rsidR="00344575" w:rsidRDefault="00344575" w:rsidP="00BD455E">
      <w:pPr>
        <w:topLinePunct/>
        <w:ind w:rightChars="12" w:right="25" w:firstLine="538"/>
        <w:jc w:val="right"/>
        <w:rPr>
          <w:sz w:val="28"/>
        </w:rPr>
      </w:pPr>
      <w:r>
        <w:rPr>
          <w:rFonts w:hint="eastAsia"/>
          <w:sz w:val="28"/>
        </w:rPr>
        <w:t xml:space="preserve">                       </w:t>
      </w:r>
      <w:r w:rsidR="002C6572" w:rsidRPr="002C6572">
        <w:rPr>
          <w:sz w:val="28"/>
        </w:rPr>
        <w:t>2015</w:t>
      </w:r>
      <w:r w:rsidR="002C6572" w:rsidRPr="002C6572">
        <w:rPr>
          <w:sz w:val="28"/>
        </w:rPr>
        <w:t>年</w:t>
      </w:r>
      <w:r w:rsidR="002C6572" w:rsidRPr="002C6572">
        <w:rPr>
          <w:sz w:val="28"/>
        </w:rPr>
        <w:t>5</w:t>
      </w:r>
      <w:r w:rsidR="002C6572" w:rsidRPr="002C6572">
        <w:rPr>
          <w:sz w:val="28"/>
        </w:rPr>
        <w:t>月</w:t>
      </w:r>
      <w:r w:rsidR="002C6572" w:rsidRPr="002C6572">
        <w:rPr>
          <w:sz w:val="28"/>
        </w:rPr>
        <w:t>13</w:t>
      </w:r>
      <w:r w:rsidR="002C6572" w:rsidRPr="002C6572">
        <w:rPr>
          <w:sz w:val="28"/>
        </w:rPr>
        <w:t>日</w:t>
      </w:r>
    </w:p>
    <w:p w:rsidR="00344575" w:rsidRDefault="00344575" w:rsidP="00344575">
      <w:pPr>
        <w:rPr>
          <w:sz w:val="24"/>
        </w:rPr>
      </w:pPr>
    </w:p>
    <w:p w:rsidR="00344575" w:rsidRDefault="00344575" w:rsidP="00344575">
      <w:pPr>
        <w:pStyle w:val="a5"/>
      </w:pPr>
    </w:p>
    <w:p w:rsidR="00344575" w:rsidRPr="00854B27" w:rsidRDefault="00344575" w:rsidP="00344575">
      <w:pPr>
        <w:topLinePunct/>
        <w:adjustRightInd w:val="0"/>
        <w:snapToGrid w:val="0"/>
        <w:ind w:firstLine="840"/>
        <w:textAlignment w:val="center"/>
      </w:pPr>
    </w:p>
    <w:sectPr w:rsidR="00344575" w:rsidRPr="00854B27" w:rsidSect="00D87D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18" w:rsidRDefault="00286618" w:rsidP="00344575">
      <w:r>
        <w:separator/>
      </w:r>
    </w:p>
  </w:endnote>
  <w:endnote w:type="continuationSeparator" w:id="0">
    <w:p w:rsidR="00286618" w:rsidRDefault="00286618" w:rsidP="003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F" w:rsidRDefault="0056337F">
    <w:pPr>
      <w:pStyle w:val="a4"/>
      <w:jc w:val="center"/>
    </w:pPr>
    <w:r>
      <w:fldChar w:fldCharType="begin"/>
    </w:r>
    <w:r>
      <w:instrText>PAGE   \* MERGEFORMAT</w:instrText>
    </w:r>
    <w:r>
      <w:fldChar w:fldCharType="separate"/>
    </w:r>
    <w:r w:rsidR="00696A96" w:rsidRPr="00696A96">
      <w:rPr>
        <w:noProof/>
        <w:lang w:val="zh-CN"/>
      </w:rPr>
      <w:t>1</w:t>
    </w:r>
    <w:r>
      <w:fldChar w:fldCharType="end"/>
    </w:r>
  </w:p>
  <w:p w:rsidR="00295AC1" w:rsidRDefault="00696A96" w:rsidP="00CB313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18" w:rsidRDefault="00286618" w:rsidP="00344575">
      <w:r>
        <w:separator/>
      </w:r>
    </w:p>
  </w:footnote>
  <w:footnote w:type="continuationSeparator" w:id="0">
    <w:p w:rsidR="00286618" w:rsidRDefault="00286618" w:rsidP="0034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insDel="0"/>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0FCE310000343A" w:val=" "/>
  </w:docVars>
  <w:rsids>
    <w:rsidRoot w:val="00344575"/>
    <w:rsid w:val="000023A7"/>
    <w:rsid w:val="00003FCE"/>
    <w:rsid w:val="00015FC5"/>
    <w:rsid w:val="00021419"/>
    <w:rsid w:val="00023059"/>
    <w:rsid w:val="00030605"/>
    <w:rsid w:val="0003260E"/>
    <w:rsid w:val="00036A14"/>
    <w:rsid w:val="00040B2F"/>
    <w:rsid w:val="00044A8C"/>
    <w:rsid w:val="000646BE"/>
    <w:rsid w:val="00066BC7"/>
    <w:rsid w:val="00070895"/>
    <w:rsid w:val="00086617"/>
    <w:rsid w:val="00087A9D"/>
    <w:rsid w:val="000A3A84"/>
    <w:rsid w:val="000B51E9"/>
    <w:rsid w:val="000B6872"/>
    <w:rsid w:val="000B6C77"/>
    <w:rsid w:val="000D087B"/>
    <w:rsid w:val="00100333"/>
    <w:rsid w:val="001005EF"/>
    <w:rsid w:val="00107E66"/>
    <w:rsid w:val="0012026B"/>
    <w:rsid w:val="00131B90"/>
    <w:rsid w:val="00133157"/>
    <w:rsid w:val="00140094"/>
    <w:rsid w:val="001455C6"/>
    <w:rsid w:val="00155459"/>
    <w:rsid w:val="00160749"/>
    <w:rsid w:val="00161582"/>
    <w:rsid w:val="00162012"/>
    <w:rsid w:val="00165339"/>
    <w:rsid w:val="00165B57"/>
    <w:rsid w:val="0017165E"/>
    <w:rsid w:val="00171EBC"/>
    <w:rsid w:val="001A11A1"/>
    <w:rsid w:val="001A5877"/>
    <w:rsid w:val="001B0DF0"/>
    <w:rsid w:val="001C54E4"/>
    <w:rsid w:val="001D2395"/>
    <w:rsid w:val="001D6DF3"/>
    <w:rsid w:val="001E73DC"/>
    <w:rsid w:val="001F0D3F"/>
    <w:rsid w:val="001F1B66"/>
    <w:rsid w:val="002006EB"/>
    <w:rsid w:val="00202C3A"/>
    <w:rsid w:val="00204C18"/>
    <w:rsid w:val="002057A2"/>
    <w:rsid w:val="00214026"/>
    <w:rsid w:val="00227343"/>
    <w:rsid w:val="002275D5"/>
    <w:rsid w:val="00251EE0"/>
    <w:rsid w:val="00253081"/>
    <w:rsid w:val="002549E8"/>
    <w:rsid w:val="00262C3F"/>
    <w:rsid w:val="00265672"/>
    <w:rsid w:val="00277EFA"/>
    <w:rsid w:val="00286618"/>
    <w:rsid w:val="00287DAE"/>
    <w:rsid w:val="002A0F0F"/>
    <w:rsid w:val="002B16BC"/>
    <w:rsid w:val="002C12DF"/>
    <w:rsid w:val="002C6434"/>
    <w:rsid w:val="002C6572"/>
    <w:rsid w:val="002D1C20"/>
    <w:rsid w:val="002E50F0"/>
    <w:rsid w:val="002E7237"/>
    <w:rsid w:val="002F0EF7"/>
    <w:rsid w:val="002F54C3"/>
    <w:rsid w:val="003075D5"/>
    <w:rsid w:val="00313601"/>
    <w:rsid w:val="003257D9"/>
    <w:rsid w:val="00334100"/>
    <w:rsid w:val="00344575"/>
    <w:rsid w:val="003478C8"/>
    <w:rsid w:val="003564B2"/>
    <w:rsid w:val="003649D9"/>
    <w:rsid w:val="003725FD"/>
    <w:rsid w:val="00390BF6"/>
    <w:rsid w:val="003A70B3"/>
    <w:rsid w:val="003B095C"/>
    <w:rsid w:val="003B3759"/>
    <w:rsid w:val="003C2904"/>
    <w:rsid w:val="003D059B"/>
    <w:rsid w:val="003D3315"/>
    <w:rsid w:val="003E5383"/>
    <w:rsid w:val="003F71FC"/>
    <w:rsid w:val="0041033F"/>
    <w:rsid w:val="004109C2"/>
    <w:rsid w:val="00414996"/>
    <w:rsid w:val="00416EDC"/>
    <w:rsid w:val="00433CE2"/>
    <w:rsid w:val="00436DBE"/>
    <w:rsid w:val="00441C75"/>
    <w:rsid w:val="004426DD"/>
    <w:rsid w:val="004464F5"/>
    <w:rsid w:val="00460155"/>
    <w:rsid w:val="00465806"/>
    <w:rsid w:val="00465965"/>
    <w:rsid w:val="00476E4C"/>
    <w:rsid w:val="00483C7B"/>
    <w:rsid w:val="00495E4A"/>
    <w:rsid w:val="004A1AFA"/>
    <w:rsid w:val="004A3BCC"/>
    <w:rsid w:val="004B429C"/>
    <w:rsid w:val="004C18D5"/>
    <w:rsid w:val="004C2D6C"/>
    <w:rsid w:val="004C713D"/>
    <w:rsid w:val="004D2893"/>
    <w:rsid w:val="004D2D7F"/>
    <w:rsid w:val="004E3500"/>
    <w:rsid w:val="004E5DCC"/>
    <w:rsid w:val="004F49F5"/>
    <w:rsid w:val="00523903"/>
    <w:rsid w:val="00533642"/>
    <w:rsid w:val="00562E7B"/>
    <w:rsid w:val="0056337F"/>
    <w:rsid w:val="005670D4"/>
    <w:rsid w:val="005725F1"/>
    <w:rsid w:val="00573515"/>
    <w:rsid w:val="00573E14"/>
    <w:rsid w:val="00583839"/>
    <w:rsid w:val="00594E18"/>
    <w:rsid w:val="005B20E3"/>
    <w:rsid w:val="005B329A"/>
    <w:rsid w:val="005C0E71"/>
    <w:rsid w:val="005D7A0F"/>
    <w:rsid w:val="005E3CBE"/>
    <w:rsid w:val="005F1E09"/>
    <w:rsid w:val="005F3C2C"/>
    <w:rsid w:val="005F4652"/>
    <w:rsid w:val="0060028A"/>
    <w:rsid w:val="0061286A"/>
    <w:rsid w:val="0061544D"/>
    <w:rsid w:val="006174E5"/>
    <w:rsid w:val="00630368"/>
    <w:rsid w:val="006343F4"/>
    <w:rsid w:val="00640541"/>
    <w:rsid w:val="006444F1"/>
    <w:rsid w:val="00651748"/>
    <w:rsid w:val="00655FB2"/>
    <w:rsid w:val="00676B29"/>
    <w:rsid w:val="006814CE"/>
    <w:rsid w:val="00683358"/>
    <w:rsid w:val="0069504B"/>
    <w:rsid w:val="00696A96"/>
    <w:rsid w:val="006A13E6"/>
    <w:rsid w:val="006B087C"/>
    <w:rsid w:val="006B4D48"/>
    <w:rsid w:val="006B7A05"/>
    <w:rsid w:val="006C1A81"/>
    <w:rsid w:val="006C549E"/>
    <w:rsid w:val="006D5264"/>
    <w:rsid w:val="006E407F"/>
    <w:rsid w:val="006E743B"/>
    <w:rsid w:val="00722EE4"/>
    <w:rsid w:val="007340A1"/>
    <w:rsid w:val="00743D4D"/>
    <w:rsid w:val="00750978"/>
    <w:rsid w:val="00750D2A"/>
    <w:rsid w:val="007539B1"/>
    <w:rsid w:val="00755CC0"/>
    <w:rsid w:val="00755E39"/>
    <w:rsid w:val="0076137E"/>
    <w:rsid w:val="007647F7"/>
    <w:rsid w:val="007712DB"/>
    <w:rsid w:val="00781BF7"/>
    <w:rsid w:val="00782936"/>
    <w:rsid w:val="00790B48"/>
    <w:rsid w:val="0079232F"/>
    <w:rsid w:val="007A1738"/>
    <w:rsid w:val="007B4780"/>
    <w:rsid w:val="007B51CE"/>
    <w:rsid w:val="007C2832"/>
    <w:rsid w:val="007C6760"/>
    <w:rsid w:val="007D04F3"/>
    <w:rsid w:val="007D3842"/>
    <w:rsid w:val="007D404C"/>
    <w:rsid w:val="007E3FED"/>
    <w:rsid w:val="007E464B"/>
    <w:rsid w:val="007F7BBB"/>
    <w:rsid w:val="00811805"/>
    <w:rsid w:val="008227C9"/>
    <w:rsid w:val="0082393B"/>
    <w:rsid w:val="00832457"/>
    <w:rsid w:val="00854B27"/>
    <w:rsid w:val="008739B5"/>
    <w:rsid w:val="008C35F7"/>
    <w:rsid w:val="008D44CC"/>
    <w:rsid w:val="008E0B25"/>
    <w:rsid w:val="008E4FEB"/>
    <w:rsid w:val="0090664F"/>
    <w:rsid w:val="00914A3A"/>
    <w:rsid w:val="00931C3D"/>
    <w:rsid w:val="0093389A"/>
    <w:rsid w:val="00934041"/>
    <w:rsid w:val="009557C1"/>
    <w:rsid w:val="0096426A"/>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0D01"/>
    <w:rsid w:val="00A22A0F"/>
    <w:rsid w:val="00A32388"/>
    <w:rsid w:val="00A35450"/>
    <w:rsid w:val="00A5001A"/>
    <w:rsid w:val="00A60B5E"/>
    <w:rsid w:val="00A6470B"/>
    <w:rsid w:val="00A73183"/>
    <w:rsid w:val="00A80E63"/>
    <w:rsid w:val="00A82B1E"/>
    <w:rsid w:val="00A854E6"/>
    <w:rsid w:val="00A92298"/>
    <w:rsid w:val="00A94873"/>
    <w:rsid w:val="00AA7E46"/>
    <w:rsid w:val="00AB546A"/>
    <w:rsid w:val="00AB7B57"/>
    <w:rsid w:val="00AC10C2"/>
    <w:rsid w:val="00AC4119"/>
    <w:rsid w:val="00AD2B4A"/>
    <w:rsid w:val="00AD4F46"/>
    <w:rsid w:val="00AE4494"/>
    <w:rsid w:val="00AE6EDC"/>
    <w:rsid w:val="00AE7298"/>
    <w:rsid w:val="00AF72A4"/>
    <w:rsid w:val="00B00C45"/>
    <w:rsid w:val="00B04149"/>
    <w:rsid w:val="00B07B40"/>
    <w:rsid w:val="00B10FBF"/>
    <w:rsid w:val="00B11994"/>
    <w:rsid w:val="00B21CA6"/>
    <w:rsid w:val="00B2424B"/>
    <w:rsid w:val="00B26BDA"/>
    <w:rsid w:val="00B309FC"/>
    <w:rsid w:val="00B30B04"/>
    <w:rsid w:val="00B34132"/>
    <w:rsid w:val="00B377C3"/>
    <w:rsid w:val="00B4217B"/>
    <w:rsid w:val="00B46EA4"/>
    <w:rsid w:val="00B47E31"/>
    <w:rsid w:val="00B54162"/>
    <w:rsid w:val="00B5575D"/>
    <w:rsid w:val="00B62D38"/>
    <w:rsid w:val="00B640D6"/>
    <w:rsid w:val="00B64280"/>
    <w:rsid w:val="00B6466B"/>
    <w:rsid w:val="00B65C55"/>
    <w:rsid w:val="00B7298F"/>
    <w:rsid w:val="00B828B5"/>
    <w:rsid w:val="00B8552E"/>
    <w:rsid w:val="00B86F91"/>
    <w:rsid w:val="00B90F93"/>
    <w:rsid w:val="00B945D0"/>
    <w:rsid w:val="00BA0E1C"/>
    <w:rsid w:val="00BC093A"/>
    <w:rsid w:val="00BC6F67"/>
    <w:rsid w:val="00BD4105"/>
    <w:rsid w:val="00BD455E"/>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0D83"/>
    <w:rsid w:val="00CD1989"/>
    <w:rsid w:val="00CD1B75"/>
    <w:rsid w:val="00CE5554"/>
    <w:rsid w:val="00CF566C"/>
    <w:rsid w:val="00D06F1F"/>
    <w:rsid w:val="00D10136"/>
    <w:rsid w:val="00D17E67"/>
    <w:rsid w:val="00D20B44"/>
    <w:rsid w:val="00D246DA"/>
    <w:rsid w:val="00D27B49"/>
    <w:rsid w:val="00D34256"/>
    <w:rsid w:val="00D52517"/>
    <w:rsid w:val="00D54756"/>
    <w:rsid w:val="00D661A5"/>
    <w:rsid w:val="00D679B7"/>
    <w:rsid w:val="00D84DC5"/>
    <w:rsid w:val="00D85F06"/>
    <w:rsid w:val="00D919BC"/>
    <w:rsid w:val="00D978A6"/>
    <w:rsid w:val="00DB0D67"/>
    <w:rsid w:val="00DC338F"/>
    <w:rsid w:val="00DD0140"/>
    <w:rsid w:val="00DD3374"/>
    <w:rsid w:val="00DD7593"/>
    <w:rsid w:val="00DE2736"/>
    <w:rsid w:val="00DE4177"/>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F7F7A"/>
    <w:rsid w:val="00F008F8"/>
    <w:rsid w:val="00F03A69"/>
    <w:rsid w:val="00F0629B"/>
    <w:rsid w:val="00F07FDC"/>
    <w:rsid w:val="00F15E64"/>
    <w:rsid w:val="00F17BC7"/>
    <w:rsid w:val="00F2061A"/>
    <w:rsid w:val="00F253A0"/>
    <w:rsid w:val="00F42A19"/>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character" w:styleId="a9">
    <w:name w:val="annotation reference"/>
    <w:basedOn w:val="a0"/>
    <w:uiPriority w:val="99"/>
    <w:semiHidden/>
    <w:unhideWhenUsed/>
    <w:rsid w:val="002C6434"/>
    <w:rPr>
      <w:sz w:val="21"/>
      <w:szCs w:val="21"/>
    </w:rPr>
  </w:style>
  <w:style w:type="paragraph" w:styleId="aa">
    <w:name w:val="annotation text"/>
    <w:basedOn w:val="a"/>
    <w:link w:val="Char4"/>
    <w:uiPriority w:val="99"/>
    <w:semiHidden/>
    <w:unhideWhenUsed/>
    <w:rsid w:val="002C6434"/>
    <w:pPr>
      <w:jc w:val="left"/>
    </w:pPr>
  </w:style>
  <w:style w:type="character" w:customStyle="1" w:styleId="Char4">
    <w:name w:val="批注文字 Char"/>
    <w:basedOn w:val="a0"/>
    <w:link w:val="aa"/>
    <w:uiPriority w:val="99"/>
    <w:semiHidden/>
    <w:rsid w:val="002C6434"/>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2C6434"/>
    <w:rPr>
      <w:b/>
      <w:bCs/>
    </w:rPr>
  </w:style>
  <w:style w:type="character" w:customStyle="1" w:styleId="Char5">
    <w:name w:val="批注主题 Char"/>
    <w:basedOn w:val="Char4"/>
    <w:link w:val="ab"/>
    <w:uiPriority w:val="99"/>
    <w:semiHidden/>
    <w:rsid w:val="002C6434"/>
    <w:rPr>
      <w:rFonts w:ascii="Times New Roman" w:eastAsia="宋体" w:hAnsi="Times New Roman" w:cs="Times New Roman"/>
      <w:b/>
      <w:bCs/>
      <w:szCs w:val="24"/>
    </w:rPr>
  </w:style>
  <w:style w:type="paragraph" w:styleId="ac">
    <w:name w:val="List Paragraph"/>
    <w:basedOn w:val="a"/>
    <w:uiPriority w:val="34"/>
    <w:qFormat/>
    <w:rsid w:val="008227C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character" w:styleId="a9">
    <w:name w:val="annotation reference"/>
    <w:basedOn w:val="a0"/>
    <w:uiPriority w:val="99"/>
    <w:semiHidden/>
    <w:unhideWhenUsed/>
    <w:rsid w:val="002C6434"/>
    <w:rPr>
      <w:sz w:val="21"/>
      <w:szCs w:val="21"/>
    </w:rPr>
  </w:style>
  <w:style w:type="paragraph" w:styleId="aa">
    <w:name w:val="annotation text"/>
    <w:basedOn w:val="a"/>
    <w:link w:val="Char4"/>
    <w:uiPriority w:val="99"/>
    <w:semiHidden/>
    <w:unhideWhenUsed/>
    <w:rsid w:val="002C6434"/>
    <w:pPr>
      <w:jc w:val="left"/>
    </w:pPr>
  </w:style>
  <w:style w:type="character" w:customStyle="1" w:styleId="Char4">
    <w:name w:val="批注文字 Char"/>
    <w:basedOn w:val="a0"/>
    <w:link w:val="aa"/>
    <w:uiPriority w:val="99"/>
    <w:semiHidden/>
    <w:rsid w:val="002C6434"/>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2C6434"/>
    <w:rPr>
      <w:b/>
      <w:bCs/>
    </w:rPr>
  </w:style>
  <w:style w:type="character" w:customStyle="1" w:styleId="Char5">
    <w:name w:val="批注主题 Char"/>
    <w:basedOn w:val="Char4"/>
    <w:link w:val="ab"/>
    <w:uiPriority w:val="99"/>
    <w:semiHidden/>
    <w:rsid w:val="002C6434"/>
    <w:rPr>
      <w:rFonts w:ascii="Times New Roman" w:eastAsia="宋体" w:hAnsi="Times New Roman" w:cs="Times New Roman"/>
      <w:b/>
      <w:bCs/>
      <w:szCs w:val="24"/>
    </w:rPr>
  </w:style>
  <w:style w:type="paragraph" w:styleId="ac">
    <w:name w:val="List Paragraph"/>
    <w:basedOn w:val="a"/>
    <w:uiPriority w:val="34"/>
    <w:qFormat/>
    <w:rsid w:val="008227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97733">
      <w:bodyDiv w:val="1"/>
      <w:marLeft w:val="0"/>
      <w:marRight w:val="0"/>
      <w:marTop w:val="0"/>
      <w:marBottom w:val="0"/>
      <w:divBdr>
        <w:top w:val="none" w:sz="0" w:space="0" w:color="auto"/>
        <w:left w:val="none" w:sz="0" w:space="0" w:color="auto"/>
        <w:bottom w:val="none" w:sz="0" w:space="0" w:color="auto"/>
        <w:right w:val="none" w:sz="0" w:space="0" w:color="auto"/>
      </w:divBdr>
    </w:div>
    <w:div w:id="1861625860">
      <w:bodyDiv w:val="1"/>
      <w:marLeft w:val="0"/>
      <w:marRight w:val="0"/>
      <w:marTop w:val="0"/>
      <w:marBottom w:val="0"/>
      <w:divBdr>
        <w:top w:val="none" w:sz="0" w:space="0" w:color="auto"/>
        <w:left w:val="none" w:sz="0" w:space="0" w:color="auto"/>
        <w:bottom w:val="none" w:sz="0" w:space="0" w:color="auto"/>
        <w:right w:val="none" w:sz="0" w:space="0" w:color="auto"/>
      </w:divBdr>
    </w:div>
    <w:div w:id="19811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FFF8029CA4CDFA8DEC9000902D581"/>
        <w:category>
          <w:name w:val="常规"/>
          <w:gallery w:val="placeholder"/>
        </w:category>
        <w:types>
          <w:type w:val="bbPlcHdr"/>
        </w:types>
        <w:behaviors>
          <w:behavior w:val="content"/>
        </w:behaviors>
        <w:guid w:val="{9F355569-EDE5-42AF-8C46-88178D0E5BAD}"/>
      </w:docPartPr>
      <w:docPartBody>
        <w:p w:rsidR="008C1EE7" w:rsidRDefault="00931843" w:rsidP="00931843">
          <w:pPr>
            <w:pStyle w:val="3BAFFF8029CA4CDFA8DEC9000902D58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1843"/>
    <w:rsid w:val="00164967"/>
    <w:rsid w:val="00390CEE"/>
    <w:rsid w:val="00422239"/>
    <w:rsid w:val="004B1988"/>
    <w:rsid w:val="004E6552"/>
    <w:rsid w:val="00582711"/>
    <w:rsid w:val="008A1B81"/>
    <w:rsid w:val="008C1EE7"/>
    <w:rsid w:val="00931843"/>
    <w:rsid w:val="00A47F9C"/>
    <w:rsid w:val="00C40BF3"/>
    <w:rsid w:val="00D834B4"/>
    <w:rsid w:val="00E51E49"/>
    <w:rsid w:val="00F65B52"/>
    <w:rsid w:val="00FD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1843"/>
  </w:style>
  <w:style w:type="paragraph" w:customStyle="1" w:styleId="54FBA5DD20B54D2AAEFAE3B1F3995783">
    <w:name w:val="54FBA5DD20B54D2AAEFAE3B1F3995783"/>
    <w:rsid w:val="00931843"/>
    <w:pPr>
      <w:widowControl w:val="0"/>
      <w:jc w:val="both"/>
    </w:pPr>
  </w:style>
  <w:style w:type="paragraph" w:customStyle="1" w:styleId="7723E9913FC8480394E2ADC8690B1EA8">
    <w:name w:val="7723E9913FC8480394E2ADC8690B1EA8"/>
    <w:rsid w:val="00931843"/>
    <w:pPr>
      <w:widowControl w:val="0"/>
      <w:jc w:val="both"/>
    </w:pPr>
  </w:style>
  <w:style w:type="paragraph" w:customStyle="1" w:styleId="C17606D83D844E1E85EA11CE5ADBACE5">
    <w:name w:val="C17606D83D844E1E85EA11CE5ADBACE5"/>
    <w:rsid w:val="00931843"/>
    <w:pPr>
      <w:widowControl w:val="0"/>
      <w:jc w:val="both"/>
    </w:pPr>
  </w:style>
  <w:style w:type="paragraph" w:customStyle="1" w:styleId="18C11D6982CC4E2AB8B7D6A996A7C7A0">
    <w:name w:val="18C11D6982CC4E2AB8B7D6A996A7C7A0"/>
    <w:rsid w:val="00931843"/>
    <w:pPr>
      <w:widowControl w:val="0"/>
      <w:jc w:val="both"/>
    </w:pPr>
  </w:style>
  <w:style w:type="paragraph" w:customStyle="1" w:styleId="2062F739866E4619AD8104D39FD57A2A">
    <w:name w:val="2062F739866E4619AD8104D39FD57A2A"/>
    <w:rsid w:val="00931843"/>
    <w:pPr>
      <w:widowControl w:val="0"/>
      <w:jc w:val="both"/>
    </w:pPr>
  </w:style>
  <w:style w:type="paragraph" w:customStyle="1" w:styleId="F46D6A010F9547FFBE3B01193275ED2F">
    <w:name w:val="F46D6A010F9547FFBE3B01193275ED2F"/>
    <w:rsid w:val="00931843"/>
    <w:pPr>
      <w:widowControl w:val="0"/>
      <w:jc w:val="both"/>
    </w:pPr>
  </w:style>
  <w:style w:type="paragraph" w:customStyle="1" w:styleId="E9A76CA28E4F4F6390AB62D2FBE7DF61">
    <w:name w:val="E9A76CA28E4F4F6390AB62D2FBE7DF61"/>
    <w:rsid w:val="00931843"/>
    <w:pPr>
      <w:widowControl w:val="0"/>
      <w:jc w:val="both"/>
    </w:pPr>
  </w:style>
  <w:style w:type="paragraph" w:customStyle="1" w:styleId="C827A431BF8B4D39ABBFEAEE88EE449A">
    <w:name w:val="C827A431BF8B4D39ABBFEAEE88EE449A"/>
    <w:rsid w:val="00931843"/>
    <w:pPr>
      <w:widowControl w:val="0"/>
      <w:jc w:val="both"/>
    </w:pPr>
  </w:style>
  <w:style w:type="paragraph" w:customStyle="1" w:styleId="7171620B97EB4FBC8A033B4026F54E14">
    <w:name w:val="7171620B97EB4FBC8A033B4026F54E14"/>
    <w:rsid w:val="00931843"/>
    <w:pPr>
      <w:widowControl w:val="0"/>
      <w:jc w:val="both"/>
    </w:pPr>
  </w:style>
  <w:style w:type="paragraph" w:customStyle="1" w:styleId="A778305388D44BB5B65FAC8BC6538C8B">
    <w:name w:val="A778305388D44BB5B65FAC8BC6538C8B"/>
    <w:rsid w:val="00931843"/>
    <w:pPr>
      <w:widowControl w:val="0"/>
      <w:jc w:val="both"/>
    </w:pPr>
  </w:style>
  <w:style w:type="paragraph" w:customStyle="1" w:styleId="B050ADBFE2EA4906A5FBD21667AAD261">
    <w:name w:val="B050ADBFE2EA4906A5FBD21667AAD261"/>
    <w:rsid w:val="00931843"/>
    <w:pPr>
      <w:widowControl w:val="0"/>
      <w:jc w:val="both"/>
    </w:pPr>
  </w:style>
  <w:style w:type="paragraph" w:customStyle="1" w:styleId="0811E03F447043F282507897D5914A01">
    <w:name w:val="0811E03F447043F282507897D5914A01"/>
    <w:rsid w:val="00931843"/>
    <w:pPr>
      <w:widowControl w:val="0"/>
      <w:jc w:val="both"/>
    </w:pPr>
  </w:style>
  <w:style w:type="paragraph" w:customStyle="1" w:styleId="75AA697657DF4CFF9E20CCBD288BA211">
    <w:name w:val="75AA697657DF4CFF9E20CCBD288BA211"/>
    <w:rsid w:val="00931843"/>
    <w:pPr>
      <w:widowControl w:val="0"/>
      <w:jc w:val="both"/>
    </w:pPr>
  </w:style>
  <w:style w:type="paragraph" w:customStyle="1" w:styleId="3BAFFF8029CA4CDFA8DEC9000902D581">
    <w:name w:val="3BAFFF8029CA4CDFA8DEC9000902D581"/>
    <w:rsid w:val="00931843"/>
    <w:pPr>
      <w:widowControl w:val="0"/>
      <w:jc w:val="both"/>
    </w:pPr>
  </w:style>
  <w:style w:type="paragraph" w:customStyle="1" w:styleId="C56EFAFE951F433C9BE086EEA5B7D1E3">
    <w:name w:val="C56EFAFE951F433C9BE086EEA5B7D1E3"/>
    <w:rsid w:val="0093184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901</Characters>
  <Application>Microsoft Office Word</Application>
  <DocSecurity>0</DocSecurity>
  <Lines>7</Lines>
  <Paragraphs>2</Paragraphs>
  <ScaleCrop>false</ScaleCrop>
  <Company>szse</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王小芳[xfwang]</cp:lastModifiedBy>
  <cp:revision>2</cp:revision>
  <cp:lastPrinted>2014-12-16T09:50:00Z</cp:lastPrinted>
  <dcterms:created xsi:type="dcterms:W3CDTF">2015-05-14T01:36:00Z</dcterms:created>
  <dcterms:modified xsi:type="dcterms:W3CDTF">2015-05-14T01:36:00Z</dcterms:modified>
</cp:coreProperties>
</file>