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75" w:rsidRDefault="00344575" w:rsidP="00344575">
      <w:pPr>
        <w:ind w:firstLine="843"/>
        <w:rPr>
          <w:rFonts w:ascii="仿宋_GB2312" w:eastAsia="仿宋_GB2312"/>
          <w:b/>
          <w:sz w:val="52"/>
          <w:szCs w:val="52"/>
        </w:rPr>
      </w:pPr>
    </w:p>
    <w:p w:rsidR="00344575" w:rsidRPr="003C6661" w:rsidRDefault="00344575" w:rsidP="00344575">
      <w:pPr>
        <w:topLinePunct/>
        <w:jc w:val="center"/>
        <w:rPr>
          <w:rFonts w:ascii="黑体" w:eastAsia="黑体" w:hAnsi="黑体"/>
          <w:sz w:val="32"/>
          <w:szCs w:val="32"/>
        </w:rPr>
      </w:pPr>
      <w:r w:rsidRPr="003C6661">
        <w:rPr>
          <w:rFonts w:ascii="黑体" w:eastAsia="黑体" w:hAnsi="黑体" w:hint="eastAsia"/>
          <w:sz w:val="32"/>
          <w:szCs w:val="32"/>
        </w:rPr>
        <w:t>关于对</w:t>
      </w:r>
      <w:r w:rsidR="005D7A0F" w:rsidRPr="003C6661">
        <w:rPr>
          <w:rFonts w:ascii="黑体" w:eastAsia="黑体" w:hAnsi="黑体" w:hint="eastAsia"/>
          <w:sz w:val="32"/>
          <w:szCs w:val="32"/>
        </w:rPr>
        <w:t>神州高铁技术股份有限公司</w:t>
      </w:r>
      <w:r w:rsidRPr="003C6661">
        <w:rPr>
          <w:rFonts w:ascii="黑体" w:eastAsia="黑体" w:hAnsi="黑体" w:hint="eastAsia"/>
          <w:sz w:val="32"/>
          <w:szCs w:val="32"/>
        </w:rPr>
        <w:t>的</w:t>
      </w:r>
      <w:r w:rsidR="00533642" w:rsidRPr="003C6661">
        <w:rPr>
          <w:rFonts w:ascii="黑体" w:eastAsia="黑体" w:hAnsi="黑体" w:hint="eastAsia"/>
          <w:sz w:val="32"/>
          <w:szCs w:val="32"/>
        </w:rPr>
        <w:t>重组</w:t>
      </w:r>
      <w:r w:rsidRPr="003C6661">
        <w:rPr>
          <w:rFonts w:ascii="黑体" w:eastAsia="黑体" w:hAnsi="黑体" w:hint="eastAsia"/>
          <w:sz w:val="32"/>
          <w:szCs w:val="32"/>
        </w:rPr>
        <w:t>问询函</w:t>
      </w:r>
    </w:p>
    <w:p w:rsidR="00344575" w:rsidRDefault="00344575" w:rsidP="00344575">
      <w:pPr>
        <w:topLinePunct/>
        <w:rPr>
          <w:sz w:val="24"/>
        </w:rPr>
      </w:pPr>
    </w:p>
    <w:p w:rsidR="00344575" w:rsidRPr="003C6661" w:rsidRDefault="00466AA2" w:rsidP="00344575">
      <w:pPr>
        <w:topLinePunct/>
        <w:jc w:val="right"/>
        <w:rPr>
          <w:rFonts w:asciiTheme="minorEastAsia" w:eastAsiaTheme="minorEastAsia" w:hAnsiTheme="minorEastAsia"/>
          <w:szCs w:val="21"/>
        </w:rPr>
      </w:pPr>
      <w:r>
        <w:rPr>
          <w:rFonts w:asciiTheme="minorEastAsia" w:eastAsiaTheme="minorEastAsia" w:hAnsiTheme="minorEastAsia" w:hint="eastAsia"/>
          <w:bCs/>
          <w:szCs w:val="21"/>
        </w:rPr>
        <w:t>许可类</w:t>
      </w:r>
      <w:r w:rsidR="00533642" w:rsidRPr="003C6661">
        <w:rPr>
          <w:rFonts w:asciiTheme="minorEastAsia" w:eastAsiaTheme="minorEastAsia" w:hAnsiTheme="minorEastAsia" w:hint="eastAsia"/>
          <w:bCs/>
          <w:szCs w:val="21"/>
        </w:rPr>
        <w:t>重组</w:t>
      </w:r>
      <w:r w:rsidR="00344575" w:rsidRPr="003C6661">
        <w:rPr>
          <w:rFonts w:asciiTheme="minorEastAsia" w:eastAsiaTheme="minorEastAsia" w:hAnsiTheme="minorEastAsia" w:hint="eastAsia"/>
          <w:szCs w:val="21"/>
        </w:rPr>
        <w:t>问询函【</w:t>
      </w:r>
      <w:r w:rsidR="000A3A84" w:rsidRPr="003C6661">
        <w:rPr>
          <w:rFonts w:asciiTheme="minorEastAsia" w:eastAsiaTheme="minorEastAsia" w:hAnsiTheme="minorEastAsia"/>
          <w:szCs w:val="21"/>
        </w:rPr>
        <w:t>2015</w:t>
      </w:r>
      <w:r w:rsidR="00344575" w:rsidRPr="003C6661">
        <w:rPr>
          <w:rFonts w:asciiTheme="minorEastAsia" w:eastAsiaTheme="minorEastAsia" w:hAnsiTheme="minorEastAsia" w:hint="eastAsia"/>
          <w:szCs w:val="21"/>
        </w:rPr>
        <w:t>】第</w:t>
      </w:r>
      <w:r w:rsidR="000A3A84" w:rsidRPr="003C6661">
        <w:rPr>
          <w:rFonts w:asciiTheme="minorEastAsia" w:eastAsiaTheme="minorEastAsia" w:hAnsiTheme="minorEastAsia" w:hint="eastAsia"/>
          <w:color w:val="FFFFFF"/>
          <w:szCs w:val="21"/>
        </w:rPr>
        <w:t xml:space="preserve"> </w:t>
      </w:r>
      <w:sdt>
        <w:sdtPr>
          <w:rPr>
            <w:rFonts w:asciiTheme="minorEastAsia" w:eastAsiaTheme="minorEastAsia" w:hAnsiTheme="minorEastAsia"/>
            <w:szCs w:val="21"/>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3C6661">
            <w:rPr>
              <w:rFonts w:asciiTheme="minorEastAsia" w:eastAsiaTheme="minorEastAsia" w:hAnsiTheme="minorEastAsia"/>
              <w:szCs w:val="21"/>
            </w:rPr>
            <w:t>11</w:t>
          </w:r>
        </w:sdtContent>
      </w:sdt>
      <w:r w:rsidR="000A3A84" w:rsidRPr="003C6661">
        <w:rPr>
          <w:rFonts w:asciiTheme="minorEastAsia" w:eastAsiaTheme="minorEastAsia" w:hAnsiTheme="minorEastAsia" w:hint="eastAsia"/>
          <w:color w:val="FFFFFF"/>
          <w:szCs w:val="21"/>
        </w:rPr>
        <w:t xml:space="preserve"> </w:t>
      </w:r>
      <w:r w:rsidR="00344575" w:rsidRPr="003C6661">
        <w:rPr>
          <w:rFonts w:asciiTheme="minorEastAsia" w:eastAsiaTheme="minorEastAsia" w:hAnsiTheme="minorEastAsia" w:hint="eastAsia"/>
          <w:szCs w:val="21"/>
        </w:rPr>
        <w:t>号</w:t>
      </w:r>
    </w:p>
    <w:p w:rsidR="00344575" w:rsidRDefault="00344575" w:rsidP="00344575">
      <w:pPr>
        <w:topLinePunct/>
        <w:jc w:val="center"/>
        <w:rPr>
          <w:sz w:val="24"/>
        </w:rPr>
      </w:pPr>
    </w:p>
    <w:p w:rsidR="00344575" w:rsidRDefault="00344575" w:rsidP="00344575">
      <w:pPr>
        <w:rPr>
          <w:sz w:val="24"/>
        </w:rPr>
      </w:pPr>
    </w:p>
    <w:p w:rsidR="00344575" w:rsidRPr="003C6661" w:rsidRDefault="005D7A0F" w:rsidP="00344575">
      <w:pPr>
        <w:rPr>
          <w:rFonts w:ascii="仿宋" w:eastAsia="仿宋" w:hAnsi="仿宋"/>
          <w:b/>
          <w:sz w:val="28"/>
        </w:rPr>
      </w:pPr>
      <w:r w:rsidRPr="003C6661">
        <w:rPr>
          <w:rFonts w:ascii="仿宋" w:eastAsia="仿宋" w:hAnsi="仿宋"/>
          <w:b/>
          <w:sz w:val="28"/>
        </w:rPr>
        <w:t>神州高铁技术股份有限公司</w:t>
      </w:r>
      <w:r w:rsidR="00344575" w:rsidRPr="003C6661">
        <w:rPr>
          <w:rFonts w:ascii="仿宋" w:eastAsia="仿宋" w:hAnsi="仿宋" w:hint="eastAsia"/>
          <w:b/>
          <w:sz w:val="28"/>
        </w:rPr>
        <w:t>董事会：</w:t>
      </w:r>
      <w:bookmarkStart w:id="0" w:name="_GoBack"/>
      <w:bookmarkEnd w:id="0"/>
    </w:p>
    <w:p w:rsidR="0076448A" w:rsidRDefault="0018046C" w:rsidP="0018046C">
      <w:pPr>
        <w:ind w:firstLineChars="200" w:firstLine="560"/>
        <w:rPr>
          <w:rFonts w:ascii="仿宋" w:eastAsia="仿宋" w:hAnsi="仿宋"/>
          <w:sz w:val="28"/>
          <w:szCs w:val="28"/>
        </w:rPr>
      </w:pPr>
      <w:r>
        <w:rPr>
          <w:rFonts w:ascii="仿宋" w:eastAsia="仿宋" w:hAnsi="仿宋" w:hint="eastAsia"/>
          <w:sz w:val="28"/>
          <w:szCs w:val="28"/>
        </w:rPr>
        <w:t>6</w:t>
      </w:r>
      <w:r w:rsidR="0076448A" w:rsidRPr="00FD4F1A">
        <w:rPr>
          <w:rFonts w:ascii="仿宋" w:eastAsia="仿宋" w:hAnsi="仿宋" w:hint="eastAsia"/>
          <w:sz w:val="28"/>
          <w:szCs w:val="28"/>
        </w:rPr>
        <w:t>月</w:t>
      </w:r>
      <w:r w:rsidRPr="0018046C">
        <w:rPr>
          <w:rFonts w:ascii="仿宋" w:eastAsia="仿宋" w:hAnsi="仿宋" w:hint="eastAsia"/>
          <w:sz w:val="28"/>
          <w:szCs w:val="28"/>
        </w:rPr>
        <w:t>13</w:t>
      </w:r>
      <w:r w:rsidR="0076448A" w:rsidRPr="00FD4F1A">
        <w:rPr>
          <w:rFonts w:ascii="仿宋" w:eastAsia="仿宋" w:hAnsi="仿宋" w:hint="eastAsia"/>
          <w:sz w:val="28"/>
          <w:szCs w:val="28"/>
        </w:rPr>
        <w:t>日，你公司直通披露</w:t>
      </w:r>
      <w:r w:rsidR="0076448A" w:rsidRPr="0018046C">
        <w:rPr>
          <w:rFonts w:ascii="仿宋" w:eastAsia="仿宋" w:hAnsi="仿宋" w:hint="eastAsia"/>
          <w:sz w:val="28"/>
          <w:szCs w:val="28"/>
        </w:rPr>
        <w:t>了《</w:t>
      </w:r>
      <w:r w:rsidRPr="0018046C">
        <w:rPr>
          <w:rFonts w:ascii="仿宋" w:eastAsia="仿宋" w:hAnsi="仿宋" w:hint="eastAsia"/>
          <w:sz w:val="28"/>
          <w:szCs w:val="28"/>
        </w:rPr>
        <w:t>神州高铁技术股份有限公司发行股份及支付现金购买资产并募集配套资金暨关联交易预案</w:t>
      </w:r>
      <w:r w:rsidR="0076448A" w:rsidRPr="00FD4F1A">
        <w:rPr>
          <w:rFonts w:ascii="仿宋" w:eastAsia="仿宋" w:hAnsi="仿宋" w:hint="eastAsia"/>
          <w:sz w:val="28"/>
          <w:szCs w:val="28"/>
        </w:rPr>
        <w:t>》（以下简称“</w:t>
      </w:r>
      <w:r w:rsidRPr="0018046C">
        <w:rPr>
          <w:rFonts w:ascii="仿宋" w:eastAsia="仿宋" w:hAnsi="仿宋" w:hint="eastAsia"/>
          <w:sz w:val="28"/>
          <w:szCs w:val="28"/>
        </w:rPr>
        <w:t>重组预案</w:t>
      </w:r>
      <w:r w:rsidR="0076448A" w:rsidRPr="00FD4F1A">
        <w:rPr>
          <w:rFonts w:ascii="仿宋" w:eastAsia="仿宋" w:hAnsi="仿宋" w:hint="eastAsia"/>
          <w:sz w:val="28"/>
          <w:szCs w:val="28"/>
        </w:rPr>
        <w:t>”）。我部对上述披露文件进行了事后审查，现将意见反馈如下：</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1、</w:t>
      </w:r>
      <w:r>
        <w:rPr>
          <w:rFonts w:ascii="仿宋" w:eastAsia="仿宋" w:hAnsi="仿宋" w:hint="eastAsia"/>
          <w:sz w:val="28"/>
          <w:szCs w:val="28"/>
        </w:rPr>
        <w:t>请</w:t>
      </w:r>
      <w:r w:rsidRPr="0018046C">
        <w:rPr>
          <w:rFonts w:ascii="仿宋" w:eastAsia="仿宋" w:hAnsi="仿宋" w:hint="eastAsia"/>
          <w:sz w:val="28"/>
          <w:szCs w:val="28"/>
        </w:rPr>
        <w:t>按照《公开发行证券的公司信息披露内容与格式准则第26号——重大资产重组》（以下简称“26号准则”）第七条（四）规定，补充披露上市以来最近一次控制权变动的情况。</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2、</w:t>
      </w:r>
      <w:r>
        <w:rPr>
          <w:rFonts w:ascii="仿宋" w:eastAsia="仿宋" w:hAnsi="仿宋" w:hint="eastAsia"/>
          <w:sz w:val="28"/>
          <w:szCs w:val="28"/>
        </w:rPr>
        <w:t>请</w:t>
      </w:r>
      <w:r w:rsidRPr="0018046C">
        <w:rPr>
          <w:rFonts w:ascii="仿宋" w:eastAsia="仿宋" w:hAnsi="仿宋" w:hint="eastAsia"/>
          <w:sz w:val="28"/>
          <w:szCs w:val="28"/>
        </w:rPr>
        <w:t>结合前次发生控制权变更情况，并根据《上市公司重大资产重组管理办法》及《&lt;上市公司重大资产重组管理办法&gt;第十三条、第四十三条的适用意见——证券期货法律适用意见第12号》相关规定，详细</w:t>
      </w:r>
      <w:r>
        <w:rPr>
          <w:rFonts w:ascii="仿宋" w:eastAsia="仿宋" w:hAnsi="仿宋" w:hint="eastAsia"/>
          <w:sz w:val="28"/>
          <w:szCs w:val="28"/>
        </w:rPr>
        <w:t>披露</w:t>
      </w:r>
      <w:r w:rsidRPr="0018046C">
        <w:rPr>
          <w:rFonts w:ascii="仿宋" w:eastAsia="仿宋" w:hAnsi="仿宋" w:hint="eastAsia"/>
          <w:sz w:val="28"/>
          <w:szCs w:val="28"/>
        </w:rPr>
        <w:t>本次交易是否构成借壳上市；独立财务顾问核查并发表明确意见。</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3、</w:t>
      </w:r>
      <w:r>
        <w:rPr>
          <w:rFonts w:ascii="仿宋" w:eastAsia="仿宋" w:hAnsi="仿宋" w:hint="eastAsia"/>
          <w:sz w:val="28"/>
          <w:szCs w:val="28"/>
        </w:rPr>
        <w:t>请</w:t>
      </w:r>
      <w:r w:rsidRPr="0018046C">
        <w:rPr>
          <w:rFonts w:ascii="仿宋" w:eastAsia="仿宋" w:hAnsi="仿宋" w:hint="eastAsia"/>
          <w:sz w:val="28"/>
          <w:szCs w:val="28"/>
        </w:rPr>
        <w:t>按照26号准则第十四条第二款</w:t>
      </w:r>
      <w:r>
        <w:rPr>
          <w:rFonts w:ascii="仿宋" w:eastAsia="仿宋" w:hAnsi="仿宋" w:hint="eastAsia"/>
          <w:sz w:val="28"/>
          <w:szCs w:val="28"/>
        </w:rPr>
        <w:t>规定，</w:t>
      </w:r>
      <w:r w:rsidRPr="0018046C">
        <w:rPr>
          <w:rFonts w:ascii="仿宋" w:eastAsia="仿宋" w:hAnsi="仿宋" w:hint="eastAsia"/>
          <w:sz w:val="28"/>
          <w:szCs w:val="28"/>
        </w:rPr>
        <w:t>补充披露</w:t>
      </w:r>
      <w:r>
        <w:rPr>
          <w:rFonts w:ascii="仿宋" w:eastAsia="仿宋" w:hAnsi="仿宋" w:hint="eastAsia"/>
          <w:sz w:val="28"/>
          <w:szCs w:val="28"/>
        </w:rPr>
        <w:t>你</w:t>
      </w:r>
      <w:r w:rsidRPr="0018046C">
        <w:rPr>
          <w:rFonts w:ascii="仿宋" w:eastAsia="仿宋" w:hAnsi="仿宋" w:hint="eastAsia"/>
          <w:sz w:val="28"/>
          <w:szCs w:val="28"/>
        </w:rPr>
        <w:t>公司是否因涉嫌犯罪被司法机关立案侦查或涉嫌违法违规被中国证监会立案</w:t>
      </w:r>
      <w:r>
        <w:rPr>
          <w:rFonts w:ascii="仿宋" w:eastAsia="仿宋" w:hAnsi="仿宋" w:hint="eastAsia"/>
          <w:sz w:val="28"/>
          <w:szCs w:val="28"/>
        </w:rPr>
        <w:t>调查，最近三年是否</w:t>
      </w:r>
      <w:r w:rsidR="00A1479A">
        <w:rPr>
          <w:rFonts w:ascii="仿宋" w:eastAsia="仿宋" w:hAnsi="仿宋" w:hint="eastAsia"/>
          <w:sz w:val="28"/>
          <w:szCs w:val="28"/>
        </w:rPr>
        <w:t>受</w:t>
      </w:r>
      <w:r>
        <w:rPr>
          <w:rFonts w:ascii="仿宋" w:eastAsia="仿宋" w:hAnsi="仿宋" w:hint="eastAsia"/>
          <w:sz w:val="28"/>
          <w:szCs w:val="28"/>
        </w:rPr>
        <w:t>到行政处分或者刑事处罚，如是，应当补充</w:t>
      </w:r>
      <w:r w:rsidRPr="0018046C">
        <w:rPr>
          <w:rFonts w:ascii="仿宋" w:eastAsia="仿宋" w:hAnsi="仿宋" w:hint="eastAsia"/>
          <w:sz w:val="28"/>
          <w:szCs w:val="28"/>
        </w:rPr>
        <w:t>披露相关情况，并说明对本次重组的影响情况。</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4、</w:t>
      </w:r>
      <w:r>
        <w:rPr>
          <w:rFonts w:ascii="仿宋" w:eastAsia="仿宋" w:hAnsi="仿宋" w:hint="eastAsia"/>
          <w:sz w:val="28"/>
          <w:szCs w:val="28"/>
        </w:rPr>
        <w:t>请你公司</w:t>
      </w:r>
      <w:r w:rsidRPr="0018046C">
        <w:rPr>
          <w:rFonts w:ascii="仿宋" w:eastAsia="仿宋" w:hAnsi="仿宋" w:hint="eastAsia"/>
          <w:sz w:val="28"/>
          <w:szCs w:val="28"/>
        </w:rPr>
        <w:t>全体董事、监事、高级管理人员根据《上市公司重大资产重组管理办法》第二十六条、26号准则第五十三条</w:t>
      </w:r>
      <w:r>
        <w:rPr>
          <w:rFonts w:ascii="仿宋" w:eastAsia="仿宋" w:hAnsi="仿宋" w:hint="eastAsia"/>
          <w:sz w:val="28"/>
          <w:szCs w:val="28"/>
        </w:rPr>
        <w:t>规定补充提交相应</w:t>
      </w:r>
      <w:r w:rsidRPr="0018046C">
        <w:rPr>
          <w:rFonts w:ascii="仿宋" w:eastAsia="仿宋" w:hAnsi="仿宋" w:hint="eastAsia"/>
          <w:sz w:val="28"/>
          <w:szCs w:val="28"/>
        </w:rPr>
        <w:t>承诺，并</w:t>
      </w:r>
      <w:r>
        <w:rPr>
          <w:rFonts w:ascii="仿宋" w:eastAsia="仿宋" w:hAnsi="仿宋" w:hint="eastAsia"/>
          <w:sz w:val="28"/>
          <w:szCs w:val="28"/>
        </w:rPr>
        <w:t>履行补充信息披露义务。</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5、由于募集的配套资金主要部分用于本次交易中现金对价的支付，但非公开发行股份募集配套资金成功与否并不影响本次发行股份及支付现金购买资产的实施。</w:t>
      </w:r>
      <w:r>
        <w:rPr>
          <w:rFonts w:ascii="仿宋" w:eastAsia="仿宋" w:hAnsi="仿宋" w:hint="eastAsia"/>
          <w:sz w:val="28"/>
          <w:szCs w:val="28"/>
        </w:rPr>
        <w:t>请</w:t>
      </w:r>
      <w:r w:rsidRPr="0018046C">
        <w:rPr>
          <w:rFonts w:ascii="仿宋" w:eastAsia="仿宋" w:hAnsi="仿宋" w:hint="eastAsia"/>
          <w:sz w:val="28"/>
          <w:szCs w:val="28"/>
        </w:rPr>
        <w:t>补充披露</w:t>
      </w:r>
      <w:r>
        <w:rPr>
          <w:rFonts w:ascii="仿宋" w:eastAsia="仿宋" w:hAnsi="仿宋" w:hint="eastAsia"/>
          <w:sz w:val="28"/>
          <w:szCs w:val="28"/>
        </w:rPr>
        <w:t>你公司</w:t>
      </w:r>
      <w:r w:rsidR="00A1479A">
        <w:rPr>
          <w:rFonts w:ascii="仿宋" w:eastAsia="仿宋" w:hAnsi="仿宋" w:hint="eastAsia"/>
          <w:sz w:val="28"/>
          <w:szCs w:val="28"/>
        </w:rPr>
        <w:t>如果</w:t>
      </w:r>
      <w:r w:rsidRPr="0018046C">
        <w:rPr>
          <w:rFonts w:ascii="仿宋" w:eastAsia="仿宋" w:hAnsi="仿宋" w:hint="eastAsia"/>
          <w:sz w:val="28"/>
          <w:szCs w:val="28"/>
        </w:rPr>
        <w:t>配套融资失败，为保证交易正常进行的其他保障措施或相关安排，并充分提示相关风险；独立财务顾问核查并发表明确意见。</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6、</w:t>
      </w:r>
      <w:r>
        <w:rPr>
          <w:rFonts w:ascii="仿宋" w:eastAsia="仿宋" w:hAnsi="仿宋" w:hint="eastAsia"/>
          <w:sz w:val="28"/>
          <w:szCs w:val="28"/>
        </w:rPr>
        <w:t>你</w:t>
      </w:r>
      <w:r w:rsidRPr="0018046C">
        <w:rPr>
          <w:rFonts w:ascii="仿宋" w:eastAsia="仿宋" w:hAnsi="仿宋" w:hint="eastAsia"/>
          <w:sz w:val="28"/>
          <w:szCs w:val="28"/>
        </w:rPr>
        <w:t>公司独立董事张卫华</w:t>
      </w:r>
      <w:r>
        <w:rPr>
          <w:rFonts w:ascii="仿宋" w:eastAsia="仿宋" w:hAnsi="仿宋" w:hint="eastAsia"/>
          <w:sz w:val="28"/>
          <w:szCs w:val="28"/>
        </w:rPr>
        <w:t>存在在</w:t>
      </w:r>
      <w:r w:rsidRPr="0018046C">
        <w:rPr>
          <w:rFonts w:ascii="仿宋" w:eastAsia="仿宋" w:hAnsi="仿宋" w:hint="eastAsia"/>
          <w:sz w:val="28"/>
          <w:szCs w:val="28"/>
        </w:rPr>
        <w:t>交易标的武汉利德</w:t>
      </w:r>
      <w:r>
        <w:rPr>
          <w:rFonts w:ascii="仿宋" w:eastAsia="仿宋" w:hAnsi="仿宋" w:hint="eastAsia"/>
          <w:sz w:val="28"/>
          <w:szCs w:val="28"/>
        </w:rPr>
        <w:t>担任</w:t>
      </w:r>
      <w:r w:rsidRPr="0018046C">
        <w:rPr>
          <w:rFonts w:ascii="仿宋" w:eastAsia="仿宋" w:hAnsi="仿宋" w:hint="eastAsia"/>
          <w:sz w:val="28"/>
          <w:szCs w:val="28"/>
        </w:rPr>
        <w:t>董事</w:t>
      </w:r>
      <w:r>
        <w:rPr>
          <w:rFonts w:ascii="仿宋" w:eastAsia="仿宋" w:hAnsi="仿宋" w:hint="eastAsia"/>
          <w:sz w:val="28"/>
          <w:szCs w:val="28"/>
        </w:rPr>
        <w:t>的情形</w:t>
      </w:r>
      <w:r w:rsidRPr="0018046C">
        <w:rPr>
          <w:rFonts w:ascii="仿宋" w:eastAsia="仿宋" w:hAnsi="仿宋" w:hint="eastAsia"/>
          <w:sz w:val="28"/>
          <w:szCs w:val="28"/>
        </w:rPr>
        <w:t>，</w:t>
      </w:r>
      <w:r>
        <w:rPr>
          <w:rFonts w:ascii="仿宋" w:eastAsia="仿宋" w:hAnsi="仿宋" w:hint="eastAsia"/>
          <w:sz w:val="28"/>
          <w:szCs w:val="28"/>
        </w:rPr>
        <w:t>请补充披露</w:t>
      </w:r>
      <w:r w:rsidRPr="0018046C">
        <w:rPr>
          <w:rFonts w:ascii="仿宋" w:eastAsia="仿宋" w:hAnsi="仿宋" w:hint="eastAsia"/>
          <w:sz w:val="28"/>
          <w:szCs w:val="28"/>
        </w:rPr>
        <w:t>本次交易过程及交易完成后，是否存在损害其作为独立董事履职独立性情况，</w:t>
      </w:r>
      <w:r>
        <w:rPr>
          <w:rFonts w:ascii="仿宋" w:eastAsia="仿宋" w:hAnsi="仿宋" w:hint="eastAsia"/>
          <w:sz w:val="28"/>
          <w:szCs w:val="28"/>
        </w:rPr>
        <w:t>其出具的独立意见是否具备独立、客观、公正性的要求，</w:t>
      </w:r>
      <w:r w:rsidRPr="0018046C">
        <w:rPr>
          <w:rFonts w:ascii="仿宋" w:eastAsia="仿宋" w:hAnsi="仿宋" w:hint="eastAsia"/>
          <w:sz w:val="28"/>
          <w:szCs w:val="28"/>
        </w:rPr>
        <w:t>是否存在违反《关于在上市公司建立独立董事制度的指导意见》（证监发【2001】102号）、《深圳证券交易所独立董事备案办法》（2011年修订）等相关规定情形，如是，应明确相关解决措施；独立财务顾问核查并发表明确意见。</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7、</w:t>
      </w:r>
      <w:r>
        <w:rPr>
          <w:rFonts w:ascii="仿宋" w:eastAsia="仿宋" w:hAnsi="仿宋" w:hint="eastAsia"/>
          <w:sz w:val="28"/>
          <w:szCs w:val="28"/>
        </w:rPr>
        <w:t>根据</w:t>
      </w:r>
      <w:r w:rsidRPr="0018046C">
        <w:rPr>
          <w:rFonts w:ascii="仿宋" w:eastAsia="仿宋" w:hAnsi="仿宋" w:hint="eastAsia"/>
          <w:sz w:val="28"/>
          <w:szCs w:val="28"/>
        </w:rPr>
        <w:t>重组预案第3页显示“公司与嘉兴九鼎、王文辉签署关于交大微联的《股权转让协议》”，而在第11页显示“公司与交大微联、王文辉签署的《股权转让协议》”，</w:t>
      </w:r>
      <w:r>
        <w:rPr>
          <w:rFonts w:ascii="仿宋" w:eastAsia="仿宋" w:hAnsi="仿宋" w:hint="eastAsia"/>
          <w:sz w:val="28"/>
          <w:szCs w:val="28"/>
        </w:rPr>
        <w:t>请</w:t>
      </w:r>
      <w:r w:rsidRPr="0018046C">
        <w:rPr>
          <w:rFonts w:ascii="仿宋" w:eastAsia="仿宋" w:hAnsi="仿宋" w:hint="eastAsia"/>
          <w:sz w:val="28"/>
          <w:szCs w:val="28"/>
        </w:rPr>
        <w:t>对重组预案中关于交大微联股权转让中签署的相关协议的对手方进行核查，并对相关表述不一致的情况作出说明，如涉及需履行补充更正信息披露义务的，应及时履行相应信息披露义务。</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8、</w:t>
      </w:r>
      <w:r>
        <w:rPr>
          <w:rFonts w:ascii="仿宋" w:eastAsia="仿宋" w:hAnsi="仿宋" w:hint="eastAsia"/>
          <w:sz w:val="28"/>
          <w:szCs w:val="28"/>
        </w:rPr>
        <w:t>请</w:t>
      </w:r>
      <w:r w:rsidRPr="0018046C">
        <w:rPr>
          <w:rFonts w:ascii="仿宋" w:eastAsia="仿宋" w:hAnsi="仿宋" w:hint="eastAsia"/>
          <w:sz w:val="28"/>
          <w:szCs w:val="28"/>
        </w:rPr>
        <w:t>补充披露关于本次交易中自然人交易对方存在支付相应税款的风险及相关风险的解决措施情况，并说明是否对重组构成实质性障碍；独立财务顾问核查并发表明确意见。</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9、关于交易标的</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（1）</w:t>
      </w:r>
      <w:r>
        <w:rPr>
          <w:rFonts w:ascii="仿宋" w:eastAsia="仿宋" w:hAnsi="仿宋" w:hint="eastAsia"/>
          <w:sz w:val="28"/>
          <w:szCs w:val="28"/>
        </w:rPr>
        <w:t>请</w:t>
      </w:r>
      <w:r w:rsidRPr="0018046C">
        <w:rPr>
          <w:rFonts w:ascii="仿宋" w:eastAsia="仿宋" w:hAnsi="仿宋" w:hint="eastAsia"/>
          <w:sz w:val="28"/>
          <w:szCs w:val="28"/>
        </w:rPr>
        <w:t>补充披露交易标的是否存在出资瑕疵或影响其合法存续的情况；独立财务顾问及律师核查并发表明确意见。</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（2）</w:t>
      </w:r>
      <w:r>
        <w:rPr>
          <w:rFonts w:ascii="仿宋" w:eastAsia="仿宋" w:hAnsi="仿宋" w:hint="eastAsia"/>
          <w:sz w:val="28"/>
          <w:szCs w:val="28"/>
        </w:rPr>
        <w:t>请</w:t>
      </w:r>
      <w:r w:rsidRPr="0018046C">
        <w:rPr>
          <w:rFonts w:ascii="仿宋" w:eastAsia="仿宋" w:hAnsi="仿宋" w:hint="eastAsia"/>
          <w:sz w:val="28"/>
          <w:szCs w:val="28"/>
        </w:rPr>
        <w:t>补充披露交易标的最近三年增资及股权转让的原因、作价依据及其合理性，股权变动相关方的关联关系，是否履行必要的审议程序和批准程序，是否符合相关法律法规及公司章程的规定，是否存在违法限制或禁止性规定而转让的情形；独立财务顾问及律师核查并发表明确意见。</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（3）</w:t>
      </w:r>
      <w:r>
        <w:rPr>
          <w:rFonts w:ascii="仿宋" w:eastAsia="仿宋" w:hAnsi="仿宋" w:hint="eastAsia"/>
          <w:sz w:val="28"/>
          <w:szCs w:val="28"/>
        </w:rPr>
        <w:t>请</w:t>
      </w:r>
      <w:r w:rsidRPr="0018046C">
        <w:rPr>
          <w:rFonts w:ascii="仿宋" w:eastAsia="仿宋" w:hAnsi="仿宋" w:hint="eastAsia"/>
          <w:sz w:val="28"/>
          <w:szCs w:val="28"/>
        </w:rPr>
        <w:t>补充披露交易标的扣除非经常性损益的净利润，同时说明相关非经常性损益构成及原因，扣除非经常性损益后净利润的稳定性，非经常性损益是否具备持续性。</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（4）</w:t>
      </w:r>
      <w:r>
        <w:rPr>
          <w:rFonts w:ascii="仿宋" w:eastAsia="仿宋" w:hAnsi="仿宋" w:hint="eastAsia"/>
          <w:sz w:val="28"/>
          <w:szCs w:val="28"/>
        </w:rPr>
        <w:t>请按交易标的主要产品结构补充</w:t>
      </w:r>
      <w:r w:rsidRPr="0018046C">
        <w:rPr>
          <w:rFonts w:ascii="仿宋" w:eastAsia="仿宋" w:hAnsi="仿宋" w:hint="eastAsia"/>
          <w:sz w:val="28"/>
          <w:szCs w:val="28"/>
        </w:rPr>
        <w:t>披露相关报告期内各主要产品的销售、销售收入、期初及期末库存等情况，以及相关产品的销售价格、采购成本及毛利率变动情况及趋势。</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（5）</w:t>
      </w:r>
      <w:r>
        <w:rPr>
          <w:rFonts w:ascii="仿宋" w:eastAsia="仿宋" w:hAnsi="仿宋" w:hint="eastAsia"/>
          <w:sz w:val="28"/>
          <w:szCs w:val="28"/>
        </w:rPr>
        <w:t>请</w:t>
      </w:r>
      <w:r w:rsidRPr="0018046C">
        <w:rPr>
          <w:rFonts w:ascii="仿宋" w:eastAsia="仿宋" w:hAnsi="仿宋" w:hint="eastAsia"/>
          <w:sz w:val="28"/>
          <w:szCs w:val="28"/>
        </w:rPr>
        <w:t>补充披露交易标的最近两年一期简要财务报表，并就财务报表主要科目（包括但不限于应收账款、其他应收款、递延所得税资产、短期借款、应付账款、营业收入、经营活动现金流等）、主要财务指标（如存货周转率、毛利率、净利率等）的大幅波动原因进行必要的补充说明。</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（6）</w:t>
      </w:r>
      <w:r>
        <w:rPr>
          <w:rFonts w:ascii="仿宋" w:eastAsia="仿宋" w:hAnsi="仿宋" w:hint="eastAsia"/>
          <w:sz w:val="28"/>
          <w:szCs w:val="28"/>
        </w:rPr>
        <w:t>请结合交易标的</w:t>
      </w:r>
      <w:r w:rsidRPr="0018046C">
        <w:rPr>
          <w:rFonts w:ascii="仿宋" w:eastAsia="仿宋" w:hAnsi="仿宋" w:hint="eastAsia"/>
          <w:sz w:val="28"/>
          <w:szCs w:val="28"/>
        </w:rPr>
        <w:t>经营模式，</w:t>
      </w:r>
      <w:r>
        <w:rPr>
          <w:rFonts w:ascii="仿宋" w:eastAsia="仿宋" w:hAnsi="仿宋" w:hint="eastAsia"/>
          <w:sz w:val="28"/>
          <w:szCs w:val="28"/>
        </w:rPr>
        <w:t>补充</w:t>
      </w:r>
      <w:r w:rsidRPr="0018046C">
        <w:rPr>
          <w:rFonts w:ascii="仿宋" w:eastAsia="仿宋" w:hAnsi="仿宋" w:hint="eastAsia"/>
          <w:sz w:val="28"/>
          <w:szCs w:val="28"/>
        </w:rPr>
        <w:t>披露收入成本的确认原则和计量方法；独立财务顾问和会计师核查并发表意见。</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（7）</w:t>
      </w:r>
      <w:r>
        <w:rPr>
          <w:rFonts w:ascii="仿宋" w:eastAsia="仿宋" w:hAnsi="仿宋" w:hint="eastAsia"/>
          <w:sz w:val="28"/>
          <w:szCs w:val="28"/>
        </w:rPr>
        <w:t>根据重组预案显示，</w:t>
      </w:r>
      <w:r w:rsidRPr="0018046C">
        <w:rPr>
          <w:rFonts w:ascii="仿宋" w:eastAsia="仿宋" w:hAnsi="仿宋" w:hint="eastAsia"/>
          <w:sz w:val="28"/>
          <w:szCs w:val="28"/>
        </w:rPr>
        <w:t>交易标的应收账款</w:t>
      </w:r>
      <w:r>
        <w:rPr>
          <w:rFonts w:ascii="仿宋" w:eastAsia="仿宋" w:hAnsi="仿宋" w:hint="eastAsia"/>
          <w:sz w:val="28"/>
          <w:szCs w:val="28"/>
        </w:rPr>
        <w:t>长期</w:t>
      </w:r>
      <w:r w:rsidRPr="0018046C">
        <w:rPr>
          <w:rFonts w:ascii="仿宋" w:eastAsia="仿宋" w:hAnsi="仿宋" w:hint="eastAsia"/>
          <w:sz w:val="28"/>
          <w:szCs w:val="28"/>
        </w:rPr>
        <w:t>保持较高水平，</w:t>
      </w:r>
      <w:r>
        <w:rPr>
          <w:rFonts w:ascii="仿宋" w:eastAsia="仿宋" w:hAnsi="仿宋" w:hint="eastAsia"/>
          <w:sz w:val="28"/>
          <w:szCs w:val="28"/>
        </w:rPr>
        <w:t>请</w:t>
      </w:r>
      <w:r w:rsidRPr="0018046C">
        <w:rPr>
          <w:rFonts w:ascii="仿宋" w:eastAsia="仿宋" w:hAnsi="仿宋" w:hint="eastAsia"/>
          <w:sz w:val="28"/>
          <w:szCs w:val="28"/>
        </w:rPr>
        <w:t>补充披露最近两年又一期的应收账款的主要构成、账龄及发生的重大减值等情况。</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（8）</w:t>
      </w:r>
      <w:r>
        <w:rPr>
          <w:rFonts w:ascii="仿宋" w:eastAsia="仿宋" w:hAnsi="仿宋" w:hint="eastAsia"/>
          <w:sz w:val="28"/>
          <w:szCs w:val="28"/>
        </w:rPr>
        <w:t>请</w:t>
      </w:r>
      <w:r w:rsidRPr="0018046C">
        <w:rPr>
          <w:rFonts w:ascii="仿宋" w:eastAsia="仿宋" w:hAnsi="仿宋" w:hint="eastAsia"/>
          <w:sz w:val="28"/>
          <w:szCs w:val="28"/>
        </w:rPr>
        <w:t>补充披露交易标的办公经营场所相关租赁协议的主要内容，包括但不限于出租方情况、租赁位置、面积及用途、协议期限、协议价格、是否为关联方等情况；同时说明是否存在承租资产权属瑕疵情况，如是，应说明其对交易标的后续生产经营的影响及相关风险情况。</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10、</w:t>
      </w:r>
      <w:r>
        <w:rPr>
          <w:rFonts w:ascii="仿宋" w:eastAsia="仿宋" w:hAnsi="仿宋" w:hint="eastAsia"/>
          <w:sz w:val="28"/>
          <w:szCs w:val="28"/>
        </w:rPr>
        <w:t>请</w:t>
      </w:r>
      <w:r w:rsidRPr="0018046C">
        <w:rPr>
          <w:rFonts w:ascii="仿宋" w:eastAsia="仿宋" w:hAnsi="仿宋" w:hint="eastAsia"/>
          <w:sz w:val="28"/>
          <w:szCs w:val="28"/>
        </w:rPr>
        <w:t>按照26号准则、</w:t>
      </w:r>
      <w:r>
        <w:rPr>
          <w:rFonts w:ascii="仿宋" w:eastAsia="仿宋" w:hAnsi="仿宋" w:hint="eastAsia"/>
          <w:sz w:val="28"/>
          <w:szCs w:val="28"/>
        </w:rPr>
        <w:t>本</w:t>
      </w:r>
      <w:r w:rsidRPr="0018046C">
        <w:rPr>
          <w:rFonts w:ascii="仿宋" w:eastAsia="仿宋" w:hAnsi="仿宋" w:hint="eastAsia"/>
          <w:sz w:val="28"/>
          <w:szCs w:val="28"/>
        </w:rPr>
        <w:t>所《主板信息披露业务备忘录第6号—资产评估相关事宜》相关要求补充披露预估的相关信息；并结合交易标的经营模式，分析报告期变动频繁且影响较大的指标对预估值的影响，并提供敏感性分析。</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11、</w:t>
      </w:r>
      <w:r>
        <w:rPr>
          <w:rFonts w:ascii="仿宋" w:eastAsia="仿宋" w:hAnsi="仿宋" w:hint="eastAsia"/>
          <w:sz w:val="28"/>
          <w:szCs w:val="28"/>
        </w:rPr>
        <w:t>根据重组预案显示，</w:t>
      </w:r>
      <w:r w:rsidRPr="0018046C">
        <w:rPr>
          <w:rFonts w:ascii="仿宋" w:eastAsia="仿宋" w:hAnsi="仿宋" w:hint="eastAsia"/>
          <w:sz w:val="28"/>
          <w:szCs w:val="28"/>
        </w:rPr>
        <w:t>2015年6月，前海二号、新余嘉泰分别将所持交大微联76.70%股权、13.30%股权以81,995.485万元、50,000.00万元转让给嘉兴九鼎。</w:t>
      </w:r>
      <w:r>
        <w:rPr>
          <w:rFonts w:ascii="仿宋" w:eastAsia="仿宋" w:hAnsi="仿宋" w:hint="eastAsia"/>
          <w:sz w:val="28"/>
          <w:szCs w:val="28"/>
        </w:rPr>
        <w:t>请</w:t>
      </w:r>
      <w:r w:rsidRPr="0018046C">
        <w:rPr>
          <w:rFonts w:ascii="仿宋" w:eastAsia="仿宋" w:hAnsi="仿宋" w:hint="eastAsia"/>
          <w:sz w:val="28"/>
          <w:szCs w:val="28"/>
        </w:rPr>
        <w:t>补充披露该次股权转让定价基础、不同对方之间股权转让定价差异较大的具体原因及合理性分析，以及与本次交易价格产生差异的具体原因及合理性分析。</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12、</w:t>
      </w:r>
      <w:r>
        <w:rPr>
          <w:rFonts w:ascii="仿宋" w:eastAsia="仿宋" w:hAnsi="仿宋" w:hint="eastAsia"/>
          <w:sz w:val="28"/>
          <w:szCs w:val="28"/>
        </w:rPr>
        <w:t>请</w:t>
      </w:r>
      <w:r w:rsidRPr="0018046C">
        <w:rPr>
          <w:rFonts w:ascii="仿宋" w:eastAsia="仿宋" w:hAnsi="仿宋" w:hint="eastAsia"/>
          <w:sz w:val="28"/>
          <w:szCs w:val="28"/>
        </w:rPr>
        <w:t>按照26号准则第五十四条第（二）款的要求，补充披露</w:t>
      </w:r>
      <w:r>
        <w:rPr>
          <w:rFonts w:ascii="仿宋" w:eastAsia="仿宋" w:hAnsi="仿宋" w:hint="eastAsia"/>
          <w:sz w:val="28"/>
          <w:szCs w:val="28"/>
        </w:rPr>
        <w:t>你</w:t>
      </w:r>
      <w:r w:rsidRPr="0018046C">
        <w:rPr>
          <w:rFonts w:ascii="仿宋" w:eastAsia="仿宋" w:hAnsi="仿宋" w:hint="eastAsia"/>
          <w:sz w:val="28"/>
          <w:szCs w:val="28"/>
        </w:rPr>
        <w:t>公司董事会结合股份发行价对应的市盈率、市净率水平以及本次发行对上市公司盈利能力、持续发展能力的影响等对股份发行定价合理性所作的分析；</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13、</w:t>
      </w:r>
      <w:r>
        <w:rPr>
          <w:rFonts w:ascii="仿宋" w:eastAsia="仿宋" w:hAnsi="仿宋" w:hint="eastAsia"/>
          <w:sz w:val="28"/>
          <w:szCs w:val="28"/>
        </w:rPr>
        <w:t>请</w:t>
      </w:r>
      <w:r w:rsidRPr="0018046C">
        <w:rPr>
          <w:rFonts w:ascii="仿宋" w:eastAsia="仿宋" w:hAnsi="仿宋" w:hint="eastAsia"/>
          <w:sz w:val="28"/>
          <w:szCs w:val="28"/>
        </w:rPr>
        <w:t>按照26</w:t>
      </w:r>
      <w:r>
        <w:rPr>
          <w:rFonts w:ascii="仿宋" w:eastAsia="仿宋" w:hAnsi="仿宋" w:hint="eastAsia"/>
          <w:sz w:val="28"/>
          <w:szCs w:val="28"/>
        </w:rPr>
        <w:t>号准则第五十四条</w:t>
      </w:r>
      <w:r w:rsidRPr="0018046C">
        <w:rPr>
          <w:rFonts w:ascii="仿宋" w:eastAsia="仿宋" w:hAnsi="仿宋" w:hint="eastAsia"/>
          <w:sz w:val="28"/>
          <w:szCs w:val="28"/>
        </w:rPr>
        <w:t>（一）</w:t>
      </w:r>
      <w:r>
        <w:rPr>
          <w:rFonts w:ascii="仿宋" w:eastAsia="仿宋" w:hAnsi="仿宋" w:hint="eastAsia"/>
          <w:sz w:val="28"/>
          <w:szCs w:val="28"/>
        </w:rPr>
        <w:t>的规定</w:t>
      </w:r>
      <w:r w:rsidRPr="0018046C">
        <w:rPr>
          <w:rFonts w:ascii="仿宋" w:eastAsia="仿宋" w:hAnsi="仿宋" w:hint="eastAsia"/>
          <w:sz w:val="28"/>
          <w:szCs w:val="28"/>
        </w:rPr>
        <w:t>补充披露前二十个交易日、六十个交易日或者一百二十个交易日的公司股票交易均价，以及发行股份市场参考价的选择依据及理由，并进行合理性分析；</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14、关于盈利预测补偿安排</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（1）</w:t>
      </w:r>
      <w:r>
        <w:rPr>
          <w:rFonts w:ascii="仿宋" w:eastAsia="仿宋" w:hAnsi="仿宋" w:hint="eastAsia"/>
          <w:sz w:val="28"/>
          <w:szCs w:val="28"/>
        </w:rPr>
        <w:t>根据重组预案显示，本次交易的盈利预测补偿安排中，标的公司承诺净利润数与实际净利润数的差额根据</w:t>
      </w:r>
      <w:r w:rsidRPr="0018046C">
        <w:rPr>
          <w:rFonts w:ascii="仿宋" w:eastAsia="仿宋" w:hAnsi="仿宋" w:hint="eastAsia"/>
          <w:sz w:val="28"/>
          <w:szCs w:val="28"/>
        </w:rPr>
        <w:t>会计师事务所出具的标准无保留意见的《专项审核报告》确定。</w:t>
      </w:r>
      <w:r>
        <w:rPr>
          <w:rFonts w:ascii="仿宋" w:eastAsia="仿宋" w:hAnsi="仿宋" w:hint="eastAsia"/>
          <w:sz w:val="28"/>
          <w:szCs w:val="28"/>
        </w:rPr>
        <w:t>请</w:t>
      </w:r>
      <w:r w:rsidRPr="0018046C">
        <w:rPr>
          <w:rFonts w:ascii="仿宋" w:eastAsia="仿宋" w:hAnsi="仿宋" w:hint="eastAsia"/>
          <w:sz w:val="28"/>
          <w:szCs w:val="28"/>
        </w:rPr>
        <w:t>详细说明会计师事务所</w:t>
      </w:r>
      <w:r>
        <w:rPr>
          <w:rFonts w:ascii="仿宋" w:eastAsia="仿宋" w:hAnsi="仿宋" w:hint="eastAsia"/>
          <w:sz w:val="28"/>
          <w:szCs w:val="28"/>
        </w:rPr>
        <w:t>在执业过程中，对相关</w:t>
      </w:r>
      <w:r w:rsidRPr="0018046C">
        <w:rPr>
          <w:rFonts w:ascii="仿宋" w:eastAsia="仿宋" w:hAnsi="仿宋" w:hint="eastAsia"/>
          <w:sz w:val="28"/>
          <w:szCs w:val="28"/>
        </w:rPr>
        <w:t>《专项审核报告》</w:t>
      </w:r>
      <w:r>
        <w:rPr>
          <w:rFonts w:ascii="仿宋" w:eastAsia="仿宋" w:hAnsi="仿宋" w:hint="eastAsia"/>
          <w:sz w:val="28"/>
          <w:szCs w:val="28"/>
        </w:rPr>
        <w:t>出具“</w:t>
      </w:r>
      <w:r w:rsidRPr="0018046C">
        <w:rPr>
          <w:rFonts w:ascii="仿宋" w:eastAsia="仿宋" w:hAnsi="仿宋" w:hint="eastAsia"/>
          <w:sz w:val="28"/>
          <w:szCs w:val="28"/>
        </w:rPr>
        <w:t>标准无保留意见</w:t>
      </w:r>
      <w:r>
        <w:rPr>
          <w:rFonts w:ascii="仿宋" w:eastAsia="仿宋" w:hAnsi="仿宋" w:hint="eastAsia"/>
          <w:sz w:val="28"/>
          <w:szCs w:val="28"/>
        </w:rPr>
        <w:t>”是否符合《中国注册会计师执业准则》等相关规定，如是，应详细说明在发生</w:t>
      </w:r>
      <w:r w:rsidRPr="0018046C">
        <w:rPr>
          <w:rFonts w:ascii="仿宋" w:eastAsia="仿宋" w:hAnsi="仿宋" w:hint="eastAsia"/>
          <w:sz w:val="28"/>
          <w:szCs w:val="28"/>
        </w:rPr>
        <w:t>对标的公司承诺净利润数与实际净利润数的差额出具非标准无保留意见的《专项审核报告》情况下，对本次交易中盈利预测补偿安排的具体影响情况。</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（2）</w:t>
      </w:r>
      <w:r>
        <w:rPr>
          <w:rFonts w:ascii="仿宋" w:eastAsia="仿宋" w:hAnsi="仿宋" w:hint="eastAsia"/>
          <w:sz w:val="28"/>
          <w:szCs w:val="28"/>
        </w:rPr>
        <w:t>请</w:t>
      </w:r>
      <w:r w:rsidRPr="0018046C">
        <w:rPr>
          <w:rFonts w:ascii="仿宋" w:eastAsia="仿宋" w:hAnsi="仿宋" w:hint="eastAsia"/>
          <w:sz w:val="28"/>
          <w:szCs w:val="28"/>
        </w:rPr>
        <w:t>结合交易对方嘉兴九鼎有关合伙协议中对投资决策机制的安排情况，补充披露其控制关系，同时应当详细说明公司实际控制人是否对该交易对方构成控制，以及根据《上市公司收购管理办法》第八十三条规定，是否与该交易对方构成一致行动人，是否可以根据《上市公司重大资产重组管理办法》第三十五条规定不适用交易对方应当与上市公司就相关资产实际盈利数不足利润预测数的情况签订明确可用性的补偿协议的情况，以及可以不适用由交易对方承担补偿责任的情况；同时</w:t>
      </w:r>
      <w:r>
        <w:rPr>
          <w:rFonts w:ascii="仿宋" w:eastAsia="仿宋" w:hAnsi="仿宋" w:hint="eastAsia"/>
          <w:sz w:val="28"/>
          <w:szCs w:val="28"/>
        </w:rPr>
        <w:t>，请详细</w:t>
      </w:r>
      <w:r w:rsidRPr="0018046C">
        <w:rPr>
          <w:rFonts w:ascii="仿宋" w:eastAsia="仿宋" w:hAnsi="仿宋" w:hint="eastAsia"/>
          <w:sz w:val="28"/>
          <w:szCs w:val="28"/>
        </w:rPr>
        <w:t>说明关于交易标的交大微联的盈利预测补偿安排，由自然人王文辉承担补偿责任的具体原因；独立财务顾问前述相关情况核查并发表明确意见。</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（3）</w:t>
      </w:r>
      <w:r>
        <w:rPr>
          <w:rFonts w:ascii="仿宋" w:eastAsia="仿宋" w:hAnsi="仿宋" w:hint="eastAsia"/>
          <w:sz w:val="28"/>
          <w:szCs w:val="28"/>
        </w:rPr>
        <w:t>请</w:t>
      </w:r>
      <w:r w:rsidRPr="0018046C">
        <w:rPr>
          <w:rFonts w:ascii="仿宋" w:eastAsia="仿宋" w:hAnsi="仿宋" w:hint="eastAsia"/>
          <w:sz w:val="28"/>
          <w:szCs w:val="28"/>
        </w:rPr>
        <w:t>详细说明未对交大微联提供减值测试及补偿安排的具体原因、是否符合《上市公司重大资产重组管理办法》及有关并购重组问答等规定要求；独立财务顾问核查并发表明确意见。</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（4）</w:t>
      </w:r>
      <w:r>
        <w:rPr>
          <w:rFonts w:ascii="仿宋" w:eastAsia="仿宋" w:hAnsi="仿宋" w:hint="eastAsia"/>
          <w:sz w:val="28"/>
          <w:szCs w:val="28"/>
        </w:rPr>
        <w:t>请</w:t>
      </w:r>
      <w:r w:rsidRPr="0018046C">
        <w:rPr>
          <w:rFonts w:ascii="仿宋" w:eastAsia="仿宋" w:hAnsi="仿宋" w:hint="eastAsia"/>
          <w:sz w:val="28"/>
          <w:szCs w:val="28"/>
        </w:rPr>
        <w:t>补充披露武汉利德的盈利预测承诺违约风险、相关方履约能力分析及履约保障措施等情况；独立财务顾问核查并发表明确意见。</w:t>
      </w:r>
    </w:p>
    <w:p w:rsidR="0018046C" w:rsidRPr="0018046C" w:rsidRDefault="0018046C" w:rsidP="0018046C">
      <w:pPr>
        <w:ind w:firstLineChars="200" w:firstLine="560"/>
        <w:rPr>
          <w:rFonts w:ascii="仿宋" w:eastAsia="仿宋" w:hAnsi="仿宋"/>
          <w:sz w:val="28"/>
          <w:szCs w:val="28"/>
        </w:rPr>
      </w:pPr>
      <w:r w:rsidRPr="0018046C">
        <w:rPr>
          <w:rFonts w:ascii="仿宋" w:eastAsia="仿宋" w:hAnsi="仿宋" w:hint="eastAsia"/>
          <w:sz w:val="28"/>
          <w:szCs w:val="28"/>
        </w:rPr>
        <w:t>15、根据</w:t>
      </w:r>
      <w:r>
        <w:rPr>
          <w:rFonts w:ascii="仿宋" w:eastAsia="仿宋" w:hAnsi="仿宋" w:hint="eastAsia"/>
          <w:sz w:val="28"/>
          <w:szCs w:val="28"/>
        </w:rPr>
        <w:t>重组</w:t>
      </w:r>
      <w:r w:rsidRPr="0018046C">
        <w:rPr>
          <w:rFonts w:ascii="仿宋" w:eastAsia="仿宋" w:hAnsi="仿宋" w:hint="eastAsia"/>
          <w:sz w:val="28"/>
          <w:szCs w:val="28"/>
        </w:rPr>
        <w:t>预案第196页显示，</w:t>
      </w:r>
      <w:r>
        <w:rPr>
          <w:rFonts w:ascii="仿宋" w:eastAsia="仿宋" w:hAnsi="仿宋" w:hint="eastAsia"/>
          <w:sz w:val="28"/>
          <w:szCs w:val="28"/>
        </w:rPr>
        <w:t>你</w:t>
      </w:r>
      <w:r w:rsidRPr="0018046C">
        <w:rPr>
          <w:rFonts w:ascii="仿宋" w:eastAsia="仿宋" w:hAnsi="仿宋" w:hint="eastAsia"/>
          <w:sz w:val="28"/>
          <w:szCs w:val="28"/>
        </w:rPr>
        <w:t>公司在重组预案有关募集配套资金的股份发行情况表述中存在“（九）上市公司聘请民生证券担任本次交</w:t>
      </w:r>
      <w:r>
        <w:rPr>
          <w:rFonts w:ascii="仿宋" w:eastAsia="仿宋" w:hAnsi="仿宋" w:hint="eastAsia"/>
          <w:sz w:val="28"/>
          <w:szCs w:val="28"/>
        </w:rPr>
        <w:t>易的独立财务顾问，民生证券经证监会批准依法设立，具备保荐人资格</w:t>
      </w:r>
      <w:r w:rsidRPr="0018046C">
        <w:rPr>
          <w:rFonts w:ascii="仿宋" w:eastAsia="仿宋" w:hAnsi="仿宋" w:hint="eastAsia"/>
          <w:sz w:val="28"/>
          <w:szCs w:val="28"/>
        </w:rPr>
        <w:t>”</w:t>
      </w:r>
      <w:r>
        <w:rPr>
          <w:rFonts w:ascii="仿宋" w:eastAsia="仿宋" w:hAnsi="仿宋" w:hint="eastAsia"/>
          <w:sz w:val="28"/>
          <w:szCs w:val="28"/>
        </w:rPr>
        <w:t>等</w:t>
      </w:r>
      <w:r w:rsidR="00A1479A">
        <w:rPr>
          <w:rFonts w:ascii="仿宋" w:eastAsia="仿宋" w:hAnsi="仿宋" w:hint="eastAsia"/>
          <w:sz w:val="28"/>
          <w:szCs w:val="28"/>
        </w:rPr>
        <w:t>无关</w:t>
      </w:r>
      <w:r w:rsidRPr="0018046C">
        <w:rPr>
          <w:rFonts w:ascii="仿宋" w:eastAsia="仿宋" w:hAnsi="仿宋" w:hint="eastAsia"/>
          <w:sz w:val="28"/>
          <w:szCs w:val="28"/>
        </w:rPr>
        <w:t>内容，</w:t>
      </w:r>
      <w:r>
        <w:rPr>
          <w:rFonts w:ascii="仿宋" w:eastAsia="仿宋" w:hAnsi="仿宋" w:hint="eastAsia"/>
          <w:sz w:val="28"/>
          <w:szCs w:val="28"/>
        </w:rPr>
        <w:t>请</w:t>
      </w:r>
      <w:r w:rsidRPr="0018046C">
        <w:rPr>
          <w:rFonts w:ascii="仿宋" w:eastAsia="仿宋" w:hAnsi="仿宋" w:hint="eastAsia"/>
          <w:sz w:val="28"/>
          <w:szCs w:val="28"/>
        </w:rPr>
        <w:t>对此予以必要的解释说明。</w:t>
      </w:r>
    </w:p>
    <w:p w:rsidR="0018046C" w:rsidRDefault="00344575" w:rsidP="0018046C">
      <w:pPr>
        <w:ind w:firstLine="555"/>
        <w:outlineLvl w:val="0"/>
        <w:rPr>
          <w:rFonts w:ascii="仿宋" w:eastAsia="仿宋" w:hAnsi="仿宋"/>
          <w:sz w:val="28"/>
        </w:rPr>
      </w:pPr>
      <w:r w:rsidRPr="003C6661">
        <w:rPr>
          <w:rFonts w:ascii="仿宋" w:eastAsia="仿宋" w:hAnsi="仿宋" w:hint="eastAsia"/>
          <w:sz w:val="28"/>
        </w:rPr>
        <w:t>请你公司就上述问题做出书面说明，并在</w:t>
      </w:r>
      <w:r w:rsidR="0018046C">
        <w:rPr>
          <w:rFonts w:ascii="仿宋" w:eastAsia="仿宋" w:hAnsi="仿宋" w:hint="eastAsia"/>
          <w:sz w:val="28"/>
        </w:rPr>
        <w:t>6</w:t>
      </w:r>
      <w:r w:rsidRPr="003C6661">
        <w:rPr>
          <w:rFonts w:ascii="仿宋" w:eastAsia="仿宋" w:hAnsi="仿宋" w:hint="eastAsia"/>
          <w:sz w:val="28"/>
        </w:rPr>
        <w:t>月</w:t>
      </w:r>
      <w:r w:rsidR="0018046C">
        <w:rPr>
          <w:rFonts w:ascii="仿宋" w:eastAsia="仿宋" w:hAnsi="仿宋" w:hint="eastAsia"/>
          <w:sz w:val="28"/>
        </w:rPr>
        <w:t>29</w:t>
      </w:r>
      <w:r w:rsidRPr="003C6661">
        <w:rPr>
          <w:rFonts w:ascii="仿宋" w:eastAsia="仿宋" w:hAnsi="仿宋" w:hint="eastAsia"/>
          <w:sz w:val="28"/>
        </w:rPr>
        <w:t>日前将有关说明材料报送我部</w:t>
      </w:r>
      <w:r w:rsidR="0018046C">
        <w:rPr>
          <w:rFonts w:ascii="仿宋" w:eastAsia="仿宋" w:hAnsi="仿宋" w:hint="eastAsia"/>
          <w:sz w:val="28"/>
        </w:rPr>
        <w:t>，同时，应当履行相应临时信息披露义务</w:t>
      </w:r>
      <w:r w:rsidRPr="003C6661">
        <w:rPr>
          <w:rFonts w:ascii="仿宋" w:eastAsia="仿宋" w:hAnsi="仿宋" w:hint="eastAsia"/>
          <w:sz w:val="28"/>
        </w:rPr>
        <w:t>。</w:t>
      </w:r>
    </w:p>
    <w:p w:rsidR="00344575" w:rsidRDefault="003C6661" w:rsidP="0018046C">
      <w:pPr>
        <w:ind w:firstLine="555"/>
        <w:outlineLvl w:val="0"/>
        <w:rPr>
          <w:sz w:val="28"/>
        </w:rPr>
      </w:pPr>
      <w:r w:rsidRPr="003C6661">
        <w:rPr>
          <w:rFonts w:ascii="仿宋" w:eastAsia="仿宋" w:hAnsi="仿宋" w:hint="eastAsia"/>
          <w:sz w:val="28"/>
        </w:rPr>
        <w:t>特此函告</w:t>
      </w:r>
    </w:p>
    <w:p w:rsidR="00344575" w:rsidRDefault="00344575" w:rsidP="00344575">
      <w:pPr>
        <w:topLinePunct/>
        <w:ind w:rightChars="12" w:right="25" w:firstLine="538"/>
        <w:jc w:val="center"/>
        <w:rPr>
          <w:sz w:val="28"/>
        </w:rPr>
      </w:pPr>
    </w:p>
    <w:p w:rsidR="00344575" w:rsidRDefault="00344575" w:rsidP="00344575">
      <w:pPr>
        <w:topLinePunct/>
        <w:ind w:rightChars="12" w:right="25" w:firstLine="538"/>
        <w:jc w:val="center"/>
        <w:rPr>
          <w:sz w:val="28"/>
        </w:rPr>
      </w:pPr>
    </w:p>
    <w:p w:rsidR="00206561" w:rsidRDefault="00206561" w:rsidP="00206561">
      <w:pPr>
        <w:topLinePunct/>
        <w:ind w:rightChars="12" w:right="25" w:firstLine="4253"/>
        <w:jc w:val="center"/>
        <w:rPr>
          <w:rFonts w:ascii="仿宋" w:eastAsia="仿宋" w:hAnsi="仿宋"/>
          <w:b/>
          <w:sz w:val="28"/>
        </w:rPr>
      </w:pPr>
      <w:r>
        <w:rPr>
          <w:rFonts w:ascii="仿宋" w:eastAsia="仿宋" w:hAnsi="仿宋" w:hint="eastAsia"/>
          <w:b/>
          <w:sz w:val="28"/>
        </w:rPr>
        <w:t>公司管理部</w:t>
      </w:r>
    </w:p>
    <w:p w:rsidR="00206561" w:rsidRDefault="00206561" w:rsidP="00206561">
      <w:pPr>
        <w:topLinePunct/>
        <w:ind w:rightChars="12" w:right="25" w:firstLine="4253"/>
        <w:jc w:val="center"/>
        <w:rPr>
          <w:rFonts w:ascii="仿宋" w:eastAsia="仿宋" w:hAnsi="仿宋"/>
          <w:b/>
          <w:sz w:val="28"/>
        </w:rPr>
      </w:pPr>
      <w:r>
        <w:rPr>
          <w:rFonts w:ascii="仿宋" w:eastAsia="仿宋" w:hAnsi="仿宋" w:hint="eastAsia"/>
          <w:b/>
          <w:sz w:val="28"/>
        </w:rPr>
        <w:t>2015年6月17日</w:t>
      </w:r>
    </w:p>
    <w:p w:rsidR="0018046C" w:rsidRDefault="0018046C" w:rsidP="00206561">
      <w:pPr>
        <w:topLinePunct/>
        <w:ind w:rightChars="12" w:right="25" w:firstLine="4253"/>
        <w:jc w:val="center"/>
        <w:rPr>
          <w:rFonts w:ascii="仿宋" w:eastAsia="仿宋" w:hAnsi="仿宋"/>
          <w:sz w:val="28"/>
        </w:rPr>
      </w:pPr>
    </w:p>
    <w:p w:rsidR="00344575" w:rsidRDefault="00344575" w:rsidP="00344575">
      <w:pPr>
        <w:rPr>
          <w:sz w:val="24"/>
        </w:rPr>
      </w:pPr>
    </w:p>
    <w:p w:rsidR="00344575" w:rsidRPr="00206561" w:rsidRDefault="00344575" w:rsidP="00344575">
      <w:pPr>
        <w:topLinePunct/>
        <w:adjustRightInd w:val="0"/>
        <w:snapToGrid w:val="0"/>
        <w:ind w:firstLine="840"/>
        <w:textAlignment w:val="center"/>
      </w:pPr>
    </w:p>
    <w:sectPr w:rsidR="00344575" w:rsidRPr="00206561" w:rsidSect="00D87D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36" w:rsidRDefault="006E5B36" w:rsidP="00344575">
      <w:r>
        <w:separator/>
      </w:r>
    </w:p>
  </w:endnote>
  <w:endnote w:type="continuationSeparator" w:id="0">
    <w:p w:rsidR="006E5B36" w:rsidRDefault="006E5B36"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F" w:rsidRDefault="0056337F">
    <w:pPr>
      <w:pStyle w:val="a4"/>
      <w:jc w:val="center"/>
    </w:pPr>
    <w:r>
      <w:fldChar w:fldCharType="begin"/>
    </w:r>
    <w:r>
      <w:instrText>PAGE   \* MERGEFORMAT</w:instrText>
    </w:r>
    <w:r>
      <w:fldChar w:fldCharType="separate"/>
    </w:r>
    <w:r w:rsidR="005C1869" w:rsidRPr="005C1869">
      <w:rPr>
        <w:noProof/>
        <w:lang w:val="zh-CN"/>
      </w:rPr>
      <w:t>6</w:t>
    </w:r>
    <w:r>
      <w:fldChar w:fldCharType="end"/>
    </w:r>
  </w:p>
  <w:p w:rsidR="00295AC1" w:rsidRDefault="005C1869"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36" w:rsidRDefault="006E5B36" w:rsidP="00344575">
      <w:r>
        <w:separator/>
      </w:r>
    </w:p>
  </w:footnote>
  <w:footnote w:type="continuationSeparator" w:id="0">
    <w:p w:rsidR="006E5B36" w:rsidRDefault="006E5B36" w:rsidP="003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revisionView w:markup="0" w:insDel="0"/>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63CB920000BCF2" w:val=" "/>
    <w:docVar w:name="558120CE000046E7" w:val=" "/>
    <w:docVar w:name="558238D300009537" w:val=" "/>
    <w:docVar w:name="558259AB0000376F" w:val=" "/>
    <w:docVar w:name="558259E70000248E" w:val=" "/>
  </w:docVars>
  <w:rsids>
    <w:rsidRoot w:val="00344575"/>
    <w:rsid w:val="000023A7"/>
    <w:rsid w:val="00003FCE"/>
    <w:rsid w:val="00015FC5"/>
    <w:rsid w:val="00021419"/>
    <w:rsid w:val="00023059"/>
    <w:rsid w:val="00030605"/>
    <w:rsid w:val="0003260E"/>
    <w:rsid w:val="00036A14"/>
    <w:rsid w:val="00040B2F"/>
    <w:rsid w:val="00044A8C"/>
    <w:rsid w:val="000646BE"/>
    <w:rsid w:val="00066BC7"/>
    <w:rsid w:val="00070895"/>
    <w:rsid w:val="00086617"/>
    <w:rsid w:val="00087A9D"/>
    <w:rsid w:val="000A3A84"/>
    <w:rsid w:val="000B51E9"/>
    <w:rsid w:val="000B6872"/>
    <w:rsid w:val="000B6C77"/>
    <w:rsid w:val="000D087B"/>
    <w:rsid w:val="00100333"/>
    <w:rsid w:val="001005EF"/>
    <w:rsid w:val="0010182D"/>
    <w:rsid w:val="00107E66"/>
    <w:rsid w:val="0012026B"/>
    <w:rsid w:val="001455C6"/>
    <w:rsid w:val="00155459"/>
    <w:rsid w:val="00160749"/>
    <w:rsid w:val="00161582"/>
    <w:rsid w:val="00162012"/>
    <w:rsid w:val="00165339"/>
    <w:rsid w:val="00165B57"/>
    <w:rsid w:val="00171EBC"/>
    <w:rsid w:val="0018046C"/>
    <w:rsid w:val="001A11A1"/>
    <w:rsid w:val="001A5877"/>
    <w:rsid w:val="001B0DF0"/>
    <w:rsid w:val="001C54E4"/>
    <w:rsid w:val="001D2395"/>
    <w:rsid w:val="001D6DF3"/>
    <w:rsid w:val="001E73DC"/>
    <w:rsid w:val="001F0D3F"/>
    <w:rsid w:val="001F1B66"/>
    <w:rsid w:val="002006EB"/>
    <w:rsid w:val="00202C3A"/>
    <w:rsid w:val="00204C18"/>
    <w:rsid w:val="002057A2"/>
    <w:rsid w:val="00206561"/>
    <w:rsid w:val="00214026"/>
    <w:rsid w:val="00227343"/>
    <w:rsid w:val="002275D5"/>
    <w:rsid w:val="00253081"/>
    <w:rsid w:val="002549E8"/>
    <w:rsid w:val="00262C3F"/>
    <w:rsid w:val="00265672"/>
    <w:rsid w:val="00277EFA"/>
    <w:rsid w:val="00287DAE"/>
    <w:rsid w:val="002A0F0F"/>
    <w:rsid w:val="002B16BC"/>
    <w:rsid w:val="002C12DF"/>
    <w:rsid w:val="002C6572"/>
    <w:rsid w:val="002D1C20"/>
    <w:rsid w:val="002E50F0"/>
    <w:rsid w:val="002E7237"/>
    <w:rsid w:val="002F0EF7"/>
    <w:rsid w:val="002F54C3"/>
    <w:rsid w:val="003075D5"/>
    <w:rsid w:val="00313601"/>
    <w:rsid w:val="003257D9"/>
    <w:rsid w:val="00334100"/>
    <w:rsid w:val="00344575"/>
    <w:rsid w:val="003478C8"/>
    <w:rsid w:val="003564B2"/>
    <w:rsid w:val="003649D9"/>
    <w:rsid w:val="003725FD"/>
    <w:rsid w:val="00390BF6"/>
    <w:rsid w:val="003A70B3"/>
    <w:rsid w:val="003B095C"/>
    <w:rsid w:val="003B3759"/>
    <w:rsid w:val="003C2904"/>
    <w:rsid w:val="003C6661"/>
    <w:rsid w:val="003D059B"/>
    <w:rsid w:val="003D3315"/>
    <w:rsid w:val="003E5383"/>
    <w:rsid w:val="003F71FC"/>
    <w:rsid w:val="0040641A"/>
    <w:rsid w:val="0041033F"/>
    <w:rsid w:val="004109C2"/>
    <w:rsid w:val="00414996"/>
    <w:rsid w:val="00416EDC"/>
    <w:rsid w:val="00433CE2"/>
    <w:rsid w:val="00436DBE"/>
    <w:rsid w:val="00441C75"/>
    <w:rsid w:val="004426DD"/>
    <w:rsid w:val="004464F5"/>
    <w:rsid w:val="00460155"/>
    <w:rsid w:val="00465806"/>
    <w:rsid w:val="00465965"/>
    <w:rsid w:val="00466AA2"/>
    <w:rsid w:val="00476E4C"/>
    <w:rsid w:val="00483C7B"/>
    <w:rsid w:val="004A1AFA"/>
    <w:rsid w:val="004A3BCC"/>
    <w:rsid w:val="004B429C"/>
    <w:rsid w:val="004C18D5"/>
    <w:rsid w:val="004C2D6C"/>
    <w:rsid w:val="004C713D"/>
    <w:rsid w:val="004D2893"/>
    <w:rsid w:val="004E3500"/>
    <w:rsid w:val="004E5DCC"/>
    <w:rsid w:val="004F49F5"/>
    <w:rsid w:val="00523903"/>
    <w:rsid w:val="00533642"/>
    <w:rsid w:val="00562E7B"/>
    <w:rsid w:val="0056337F"/>
    <w:rsid w:val="005670D4"/>
    <w:rsid w:val="005725F1"/>
    <w:rsid w:val="00573E14"/>
    <w:rsid w:val="00583839"/>
    <w:rsid w:val="00594E18"/>
    <w:rsid w:val="005B20E3"/>
    <w:rsid w:val="005B329A"/>
    <w:rsid w:val="005C0E71"/>
    <w:rsid w:val="005C1869"/>
    <w:rsid w:val="005D7A0F"/>
    <w:rsid w:val="005E3CBE"/>
    <w:rsid w:val="005F1E09"/>
    <w:rsid w:val="005F3C2C"/>
    <w:rsid w:val="005F4652"/>
    <w:rsid w:val="0060028A"/>
    <w:rsid w:val="0061286A"/>
    <w:rsid w:val="0061544D"/>
    <w:rsid w:val="006174E5"/>
    <w:rsid w:val="00630368"/>
    <w:rsid w:val="006343F4"/>
    <w:rsid w:val="00640541"/>
    <w:rsid w:val="006444F1"/>
    <w:rsid w:val="00655FB2"/>
    <w:rsid w:val="00676B29"/>
    <w:rsid w:val="00683358"/>
    <w:rsid w:val="0069504B"/>
    <w:rsid w:val="006A13E6"/>
    <w:rsid w:val="006B087C"/>
    <w:rsid w:val="006B4D48"/>
    <w:rsid w:val="006B7A05"/>
    <w:rsid w:val="006C1A81"/>
    <w:rsid w:val="006C549E"/>
    <w:rsid w:val="006D5264"/>
    <w:rsid w:val="006E407F"/>
    <w:rsid w:val="006E5B36"/>
    <w:rsid w:val="006E743B"/>
    <w:rsid w:val="00722EE4"/>
    <w:rsid w:val="007340A1"/>
    <w:rsid w:val="00743D4D"/>
    <w:rsid w:val="00750978"/>
    <w:rsid w:val="00750D2A"/>
    <w:rsid w:val="007539B1"/>
    <w:rsid w:val="00755CC0"/>
    <w:rsid w:val="00755E39"/>
    <w:rsid w:val="0076137E"/>
    <w:rsid w:val="0076448A"/>
    <w:rsid w:val="007647F7"/>
    <w:rsid w:val="007712DB"/>
    <w:rsid w:val="00781BF7"/>
    <w:rsid w:val="00782936"/>
    <w:rsid w:val="00790B48"/>
    <w:rsid w:val="0079232F"/>
    <w:rsid w:val="007A1738"/>
    <w:rsid w:val="007B4780"/>
    <w:rsid w:val="007B51CE"/>
    <w:rsid w:val="007C2832"/>
    <w:rsid w:val="007C6760"/>
    <w:rsid w:val="007D04F3"/>
    <w:rsid w:val="007D3842"/>
    <w:rsid w:val="007D404C"/>
    <w:rsid w:val="007D75D6"/>
    <w:rsid w:val="007E3FED"/>
    <w:rsid w:val="007E464B"/>
    <w:rsid w:val="00811805"/>
    <w:rsid w:val="0082393B"/>
    <w:rsid w:val="00832457"/>
    <w:rsid w:val="008739B5"/>
    <w:rsid w:val="008B31FD"/>
    <w:rsid w:val="008C35F7"/>
    <w:rsid w:val="008D44CC"/>
    <w:rsid w:val="008E0B25"/>
    <w:rsid w:val="008E4FEB"/>
    <w:rsid w:val="0090664F"/>
    <w:rsid w:val="00914A3A"/>
    <w:rsid w:val="00931C3D"/>
    <w:rsid w:val="0093389A"/>
    <w:rsid w:val="00934041"/>
    <w:rsid w:val="009557C1"/>
    <w:rsid w:val="0096426A"/>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479A"/>
    <w:rsid w:val="00A163A3"/>
    <w:rsid w:val="00A22A0F"/>
    <w:rsid w:val="00A35450"/>
    <w:rsid w:val="00A5001A"/>
    <w:rsid w:val="00A60B5E"/>
    <w:rsid w:val="00A6470B"/>
    <w:rsid w:val="00A73183"/>
    <w:rsid w:val="00A80E63"/>
    <w:rsid w:val="00A82B1E"/>
    <w:rsid w:val="00A854E6"/>
    <w:rsid w:val="00A92298"/>
    <w:rsid w:val="00A94873"/>
    <w:rsid w:val="00AA7E46"/>
    <w:rsid w:val="00AB546A"/>
    <w:rsid w:val="00AB7B57"/>
    <w:rsid w:val="00AC10C2"/>
    <w:rsid w:val="00AC4119"/>
    <w:rsid w:val="00AD2B4A"/>
    <w:rsid w:val="00AD4F46"/>
    <w:rsid w:val="00AE4494"/>
    <w:rsid w:val="00AE6EDC"/>
    <w:rsid w:val="00AE7298"/>
    <w:rsid w:val="00B00C45"/>
    <w:rsid w:val="00B04149"/>
    <w:rsid w:val="00B07B40"/>
    <w:rsid w:val="00B10FBF"/>
    <w:rsid w:val="00B11994"/>
    <w:rsid w:val="00B21CA6"/>
    <w:rsid w:val="00B2424B"/>
    <w:rsid w:val="00B26BDA"/>
    <w:rsid w:val="00B309FC"/>
    <w:rsid w:val="00B30B04"/>
    <w:rsid w:val="00B34132"/>
    <w:rsid w:val="00B377C3"/>
    <w:rsid w:val="00B4217B"/>
    <w:rsid w:val="00B46EA4"/>
    <w:rsid w:val="00B47E31"/>
    <w:rsid w:val="00B54162"/>
    <w:rsid w:val="00B5575D"/>
    <w:rsid w:val="00B62D38"/>
    <w:rsid w:val="00B640D6"/>
    <w:rsid w:val="00B64280"/>
    <w:rsid w:val="00B6466B"/>
    <w:rsid w:val="00B65C55"/>
    <w:rsid w:val="00B7298F"/>
    <w:rsid w:val="00B828B5"/>
    <w:rsid w:val="00B8552E"/>
    <w:rsid w:val="00B86F91"/>
    <w:rsid w:val="00B90F93"/>
    <w:rsid w:val="00B945D0"/>
    <w:rsid w:val="00BA0E1C"/>
    <w:rsid w:val="00BC093A"/>
    <w:rsid w:val="00BC6F67"/>
    <w:rsid w:val="00BD4105"/>
    <w:rsid w:val="00BD455E"/>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85F06"/>
    <w:rsid w:val="00D919BC"/>
    <w:rsid w:val="00D978A6"/>
    <w:rsid w:val="00DB0D67"/>
    <w:rsid w:val="00DC338F"/>
    <w:rsid w:val="00DD0140"/>
    <w:rsid w:val="00DD3374"/>
    <w:rsid w:val="00DD7593"/>
    <w:rsid w:val="00DE2736"/>
    <w:rsid w:val="00DE4177"/>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uiPriority w:val="99"/>
    <w:semiHidden/>
    <w:rsid w:val="0018046C"/>
    <w:rPr>
      <w:rFonts w:cs="Times New Roman"/>
      <w:sz w:val="21"/>
      <w:szCs w:val="21"/>
    </w:rPr>
  </w:style>
  <w:style w:type="paragraph" w:styleId="aa">
    <w:name w:val="annotation text"/>
    <w:basedOn w:val="a"/>
    <w:link w:val="Char4"/>
    <w:uiPriority w:val="99"/>
    <w:semiHidden/>
    <w:rsid w:val="0018046C"/>
    <w:pPr>
      <w:spacing w:beforeLines="50" w:afterLines="50" w:line="360" w:lineRule="auto"/>
      <w:jc w:val="left"/>
    </w:pPr>
    <w:rPr>
      <w:sz w:val="24"/>
    </w:rPr>
  </w:style>
  <w:style w:type="character" w:customStyle="1" w:styleId="Char4">
    <w:name w:val="批注文字 Char"/>
    <w:basedOn w:val="a0"/>
    <w:link w:val="aa"/>
    <w:uiPriority w:val="99"/>
    <w:semiHidden/>
    <w:rsid w:val="0018046C"/>
    <w:rPr>
      <w:rFonts w:ascii="Times New Roman" w:eastAsia="宋体" w:hAnsi="Times New Roman" w:cs="Times New Roman"/>
      <w:sz w:val="24"/>
      <w:szCs w:val="24"/>
    </w:rPr>
  </w:style>
  <w:style w:type="paragraph" w:styleId="ab">
    <w:name w:val="Date"/>
    <w:basedOn w:val="a"/>
    <w:next w:val="a"/>
    <w:link w:val="Char5"/>
    <w:uiPriority w:val="99"/>
    <w:semiHidden/>
    <w:unhideWhenUsed/>
    <w:rsid w:val="0018046C"/>
    <w:pPr>
      <w:ind w:leftChars="2500" w:left="100"/>
    </w:pPr>
  </w:style>
  <w:style w:type="character" w:customStyle="1" w:styleId="Char5">
    <w:name w:val="日期 Char"/>
    <w:basedOn w:val="a0"/>
    <w:link w:val="ab"/>
    <w:uiPriority w:val="99"/>
    <w:semiHidden/>
    <w:rsid w:val="0018046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uiPriority w:val="99"/>
    <w:semiHidden/>
    <w:rsid w:val="0018046C"/>
    <w:rPr>
      <w:rFonts w:cs="Times New Roman"/>
      <w:sz w:val="21"/>
      <w:szCs w:val="21"/>
    </w:rPr>
  </w:style>
  <w:style w:type="paragraph" w:styleId="aa">
    <w:name w:val="annotation text"/>
    <w:basedOn w:val="a"/>
    <w:link w:val="Char4"/>
    <w:uiPriority w:val="99"/>
    <w:semiHidden/>
    <w:rsid w:val="0018046C"/>
    <w:pPr>
      <w:spacing w:beforeLines="50" w:afterLines="50" w:line="360" w:lineRule="auto"/>
      <w:jc w:val="left"/>
    </w:pPr>
    <w:rPr>
      <w:sz w:val="24"/>
    </w:rPr>
  </w:style>
  <w:style w:type="character" w:customStyle="1" w:styleId="Char4">
    <w:name w:val="批注文字 Char"/>
    <w:basedOn w:val="a0"/>
    <w:link w:val="aa"/>
    <w:uiPriority w:val="99"/>
    <w:semiHidden/>
    <w:rsid w:val="0018046C"/>
    <w:rPr>
      <w:rFonts w:ascii="Times New Roman" w:eastAsia="宋体" w:hAnsi="Times New Roman" w:cs="Times New Roman"/>
      <w:sz w:val="24"/>
      <w:szCs w:val="24"/>
    </w:rPr>
  </w:style>
  <w:style w:type="paragraph" w:styleId="ab">
    <w:name w:val="Date"/>
    <w:basedOn w:val="a"/>
    <w:next w:val="a"/>
    <w:link w:val="Char5"/>
    <w:uiPriority w:val="99"/>
    <w:semiHidden/>
    <w:unhideWhenUsed/>
    <w:rsid w:val="0018046C"/>
    <w:pPr>
      <w:ind w:leftChars="2500" w:left="100"/>
    </w:pPr>
  </w:style>
  <w:style w:type="character" w:customStyle="1" w:styleId="Char5">
    <w:name w:val="日期 Char"/>
    <w:basedOn w:val="a0"/>
    <w:link w:val="ab"/>
    <w:uiPriority w:val="99"/>
    <w:semiHidden/>
    <w:rsid w:val="0018046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321">
      <w:bodyDiv w:val="1"/>
      <w:marLeft w:val="0"/>
      <w:marRight w:val="0"/>
      <w:marTop w:val="0"/>
      <w:marBottom w:val="0"/>
      <w:divBdr>
        <w:top w:val="none" w:sz="0" w:space="0" w:color="auto"/>
        <w:left w:val="none" w:sz="0" w:space="0" w:color="auto"/>
        <w:bottom w:val="none" w:sz="0" w:space="0" w:color="auto"/>
        <w:right w:val="none" w:sz="0" w:space="0" w:color="auto"/>
      </w:divBdr>
    </w:div>
    <w:div w:id="809983275">
      <w:bodyDiv w:val="1"/>
      <w:marLeft w:val="0"/>
      <w:marRight w:val="0"/>
      <w:marTop w:val="0"/>
      <w:marBottom w:val="0"/>
      <w:divBdr>
        <w:top w:val="none" w:sz="0" w:space="0" w:color="auto"/>
        <w:left w:val="none" w:sz="0" w:space="0" w:color="auto"/>
        <w:bottom w:val="none" w:sz="0" w:space="0" w:color="auto"/>
        <w:right w:val="none" w:sz="0" w:space="0" w:color="auto"/>
      </w:divBdr>
    </w:div>
    <w:div w:id="1826897132">
      <w:bodyDiv w:val="1"/>
      <w:marLeft w:val="0"/>
      <w:marRight w:val="0"/>
      <w:marTop w:val="0"/>
      <w:marBottom w:val="0"/>
      <w:divBdr>
        <w:top w:val="none" w:sz="0" w:space="0" w:color="auto"/>
        <w:left w:val="none" w:sz="0" w:space="0" w:color="auto"/>
        <w:bottom w:val="none" w:sz="0" w:space="0" w:color="auto"/>
        <w:right w:val="none" w:sz="0" w:space="0" w:color="auto"/>
      </w:divBdr>
    </w:div>
    <w:div w:id="19811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164967"/>
    <w:rsid w:val="00390CEE"/>
    <w:rsid w:val="00422239"/>
    <w:rsid w:val="008A1B81"/>
    <w:rsid w:val="008C1EE7"/>
    <w:rsid w:val="00931843"/>
    <w:rsid w:val="00A6094C"/>
    <w:rsid w:val="00BC0035"/>
    <w:rsid w:val="00BF66F2"/>
    <w:rsid w:val="00C40BF3"/>
    <w:rsid w:val="00D834B4"/>
    <w:rsid w:val="00E51E49"/>
    <w:rsid w:val="00EC2211"/>
    <w:rsid w:val="00F65B52"/>
    <w:rsid w:val="00FD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0035"/>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 w:type="paragraph" w:customStyle="1" w:styleId="B6FC4E3C23424F4EB558DDA2E153B86B">
    <w:name w:val="B6FC4E3C23424F4EB558DDA2E153B86B"/>
    <w:rsid w:val="00BC0035"/>
    <w:pPr>
      <w:widowControl w:val="0"/>
      <w:jc w:val="both"/>
    </w:pPr>
  </w:style>
  <w:style w:type="paragraph" w:customStyle="1" w:styleId="C879C46284AB42B5B6B4501E0BEFD16F">
    <w:name w:val="C879C46284AB42B5B6B4501E0BEFD16F"/>
    <w:rsid w:val="00BC0035"/>
    <w:pPr>
      <w:widowControl w:val="0"/>
      <w:jc w:val="both"/>
    </w:pPr>
  </w:style>
  <w:style w:type="paragraph" w:customStyle="1" w:styleId="241C4DC5E51941F7AB0ADC5E312E50DD">
    <w:name w:val="241C4DC5E51941F7AB0ADC5E312E50DD"/>
    <w:rsid w:val="00BC003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9C10584B</Template>
  <TotalTime>1</TotalTime>
  <Pages>6</Pages>
  <Words>470</Words>
  <Characters>2680</Characters>
  <Application>Microsoft Office Word</Application>
  <DocSecurity>0</DocSecurity>
  <Lines>22</Lines>
  <Paragraphs>6</Paragraphs>
  <ScaleCrop>false</ScaleCrop>
  <Company>szse</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王建伟[jwwang]</cp:lastModifiedBy>
  <cp:revision>2</cp:revision>
  <cp:lastPrinted>2014-12-16T09:50:00Z</cp:lastPrinted>
  <dcterms:created xsi:type="dcterms:W3CDTF">2015-06-18T05:41:00Z</dcterms:created>
  <dcterms:modified xsi:type="dcterms:W3CDTF">2015-06-18T05:41:00Z</dcterms:modified>
</cp:coreProperties>
</file>