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120" w:line="960" w:lineRule="exact"/>
        <w:jc w:val="center"/>
        <w:rPr>
          <w:rFonts w:ascii="仿宋_GB2312" w:eastAsia="仿宋_GB2312"/>
          <w:u w:val="single"/>
        </w:rPr>
      </w:pPr>
      <w:r>
        <w:rPr>
          <w:rFonts w:hint="eastAsia" w:eastAsia="方正小标宋简体"/>
          <w:color w:val="FF0000"/>
          <w:spacing w:val="140"/>
          <w:w w:val="90"/>
          <w:kern w:val="11"/>
          <w:sz w:val="84"/>
        </w:rPr>
        <w:t>深圳证券交易所</w:t>
      </w:r>
      <w:r>
        <w:rPr>
          <w:sz w:val="24"/>
        </w:rPr>
        <w:t xml:space="preserve">                                     </w:t>
      </w:r>
    </w:p>
    <w:p>
      <w:pPr>
        <w:spacing w:line="420" w:lineRule="exact"/>
        <w:rPr>
          <w:rFonts w:ascii="仿宋_GB2312" w:eastAsia="仿宋_GB2312"/>
          <w:b/>
          <w:sz w:val="28"/>
        </w:rPr>
      </w:pPr>
      <w:bookmarkStart w:id="1" w:name="_GoBack"/>
      <w: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182880</wp:posOffset>
                </wp:positionV>
                <wp:extent cx="5257800" cy="635"/>
                <wp:effectExtent l="0" t="13970" r="0" b="23495"/>
                <wp:wrapNone/>
                <wp:docPr id="1" name="直接连接符 9"/>
                <wp:cNvGraphicFramePr/>
                <a:graphic xmlns:a="http://schemas.openxmlformats.org/drawingml/2006/main">
                  <a:graphicData uri="http://schemas.microsoft.com/office/word/2010/wordprocessingShape">
                    <wps:wsp>
                      <wps:cNvCnPr/>
                      <wps:spPr>
                        <a:xfrm>
                          <a:off x="0" y="0"/>
                          <a:ext cx="52578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接连接符 9" o:spid="_x0000_s1026" o:spt="20" style="position:absolute;left:0pt;margin-left:9pt;margin-top:14.4pt;height:0.05pt;width:414pt;z-index:251659264;mso-width-relative:page;mso-height-relative:page;" filled="f" stroked="t" coordsize="21600,21600" o:gfxdata="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cymPTVAAAACAEAAA8AAAAAAAAAAQAgAAAAIgAAAGRycy9kb3ducmV2LnhtbFBL&#10;AQIUABQAAAAIAIdO4kDwtIYK+QEAAOcDAAAOAAAAAAAAAAEAIAAAACQBAABkcnMvZTJvRG9jLnht&#10;bFBLBQYAAAAABgAGAFkBAACPBQAAAAA=&#10;">
                <v:fill on="f" focussize="0,0"/>
                <v:stroke weight="2.25pt" color="#FF0000" joinstyle="round"/>
                <v:imagedata o:title=""/>
                <o:lock v:ext="edit" aspectratio="f"/>
              </v:line>
            </w:pict>
          </mc:Fallback>
        </mc:AlternateContent>
      </w:r>
      <w:bookmarkEnd w:id="1"/>
    </w:p>
    <w:p>
      <w:pPr>
        <w:spacing w:line="420" w:lineRule="exact"/>
        <w:jc w:val="center"/>
        <w:rPr>
          <w:rFonts w:ascii="仿宋_GB2312" w:eastAsia="仿宋_GB2312"/>
          <w:b/>
          <w:sz w:val="36"/>
        </w:rPr>
      </w:pPr>
    </w:p>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outlineLvl w:val="9"/>
        <w:rPr>
          <w:rFonts w:hint="eastAsia" w:ascii="方正小标宋简体" w:hAnsi="黑体" w:eastAsia="方正小标宋简体" w:cs="Times New Roman"/>
          <w:b w:val="0"/>
          <w:bCs/>
          <w:sz w:val="44"/>
          <w:szCs w:val="36"/>
        </w:rPr>
      </w:pPr>
      <w:r>
        <w:rPr>
          <w:rFonts w:hint="eastAsia" w:ascii="方正小标宋简体" w:hAnsi="方正小标宋简体" w:eastAsia="方正小标宋简体" w:cs="方正小标宋简体"/>
          <w:b w:val="0"/>
          <w:bCs w:val="0"/>
          <w:sz w:val="44"/>
          <w:szCs w:val="44"/>
        </w:rPr>
        <w:t>关于一汽解放集团股份有限公司面向专业投资者公开发行科技创新公司债券并</w:t>
      </w:r>
      <w:r>
        <w:rPr>
          <w:rFonts w:hint="eastAsia" w:ascii="方正小标宋简体" w:hAnsi="方正小标宋简体" w:eastAsia="方正小标宋简体" w:cs="方正小标宋简体"/>
          <w:b w:val="0"/>
          <w:bCs w:val="0"/>
          <w:sz w:val="44"/>
          <w:szCs w:val="44"/>
        </w:rPr>
        <w:br w:type="textWrapping"/>
      </w:r>
      <w:r>
        <w:rPr>
          <w:rFonts w:hint="eastAsia" w:ascii="方正小标宋简体" w:hAnsi="方正小标宋简体" w:eastAsia="方正小标宋简体" w:cs="方正小标宋简体"/>
          <w:b w:val="0"/>
          <w:bCs w:val="0"/>
          <w:sz w:val="44"/>
          <w:szCs w:val="44"/>
        </w:rPr>
        <w:t>上市申请文件</w:t>
      </w:r>
      <w:r>
        <w:rPr>
          <w:rFonts w:hint="eastAsia" w:ascii="方正小标宋简体" w:hAnsi="方正小标宋简体" w:eastAsia="方正小标宋简体" w:cs="方正小标宋简体"/>
          <w:b w:val="0"/>
          <w:bCs w:val="0"/>
          <w:sz w:val="44"/>
          <w:szCs w:val="44"/>
          <w:lang w:eastAsia="zh-CN"/>
        </w:rPr>
        <w:t>的</w:t>
      </w:r>
      <w:r>
        <w:rPr>
          <w:rFonts w:hint="eastAsia" w:ascii="方正小标宋简体" w:hAnsi="方正小标宋简体" w:eastAsia="方正小标宋简体" w:cs="方正小标宋简体"/>
          <w:b w:val="0"/>
          <w:bCs w:val="0"/>
          <w:sz w:val="44"/>
          <w:szCs w:val="44"/>
        </w:rPr>
        <w:t>反馈意见</w:t>
      </w:r>
    </w:p>
    <w:p>
      <w:pPr>
        <w:spacing w:line="420" w:lineRule="exact"/>
        <w:jc w:val="center"/>
        <w:rPr>
          <w:rFonts w:hint="eastAsia" w:ascii="仿宋_GB2312" w:eastAsia="仿宋_GB2312"/>
          <w:b/>
          <w:sz w:val="36"/>
        </w:rPr>
      </w:pPr>
    </w:p>
    <w:p>
      <w:pPr>
        <w:spacing w:before="156" w:beforeLines="50"/>
        <w:ind w:firstLine="845"/>
        <w:jc w:val="right"/>
        <w:rPr>
          <w:sz w:val="24"/>
        </w:rPr>
      </w:pPr>
      <w:r>
        <w:rPr>
          <w:rFonts w:hint="eastAsia"/>
          <w:sz w:val="24"/>
        </w:rPr>
        <w:t>债券业务中心反馈函（公）〔202</w:t>
      </w:r>
      <w:r>
        <w:rPr>
          <w:rFonts w:hint="eastAsia"/>
          <w:sz w:val="24"/>
          <w:lang w:val="en-US" w:eastAsia="zh-CN"/>
        </w:rPr>
        <w:t>6</w:t>
      </w:r>
      <w:r>
        <w:rPr>
          <w:rFonts w:hint="eastAsia"/>
          <w:sz w:val="24"/>
        </w:rPr>
        <w:t>〕第</w:t>
      </w:r>
      <w:r>
        <w:rPr>
          <w:rFonts w:hint="default"/>
          <w:sz w:val="24"/>
          <w:lang w:val="en-US" w:eastAsia="zh-CN"/>
        </w:rPr>
        <w:t>60</w:t>
      </w:r>
      <w:r>
        <w:rPr>
          <w:rFonts w:hint="eastAsia"/>
          <w:sz w:val="24"/>
        </w:rPr>
        <w:t>号</w:t>
      </w:r>
    </w:p>
    <w:p>
      <w:pPr>
        <w:topLinePunct/>
        <w:rPr>
          <w:rFonts w:hint="eastAsia" w:ascii="仿宋_GB2312" w:hAnsi="仿宋_GB2312" w:eastAsia="仿宋_GB2312"/>
          <w:sz w:val="32"/>
        </w:rPr>
      </w:pPr>
    </w:p>
    <w:p>
      <w:pPr>
        <w:pageBreakBefore w:val="0"/>
        <w:widowControl w:val="0"/>
        <w:kinsoku/>
        <w:wordWrap/>
        <w:overflowPunct/>
        <w:topLinePunct/>
        <w:autoSpaceDE/>
        <w:autoSpaceDN/>
        <w:bidi w:val="0"/>
        <w:spacing w:line="560" w:lineRule="exact"/>
        <w:ind w:firstLine="0" w:firstLineChars="0"/>
        <w:textAlignment w:val="auto"/>
        <w:rPr>
          <w:rFonts w:hint="eastAsia" w:ascii="仿宋" w:hAnsi="仿宋" w:eastAsia="仿宋" w:cs="仿宋"/>
          <w:sz w:val="32"/>
          <w:szCs w:val="32"/>
        </w:rPr>
      </w:pPr>
      <w:r>
        <w:rPr>
          <w:rFonts w:hint="eastAsia" w:ascii="仿宋" w:hAnsi="仿宋" w:eastAsia="仿宋"/>
          <w:sz w:val="32"/>
          <w:szCs w:val="30"/>
        </w:rPr>
        <w:t>一汽解放集团股份有限公司</w:t>
      </w:r>
      <w:r>
        <w:rPr>
          <w:rFonts w:hint="eastAsia" w:ascii="仿宋" w:hAnsi="仿宋" w:eastAsia="仿宋" w:cs="仿宋"/>
          <w:sz w:val="32"/>
          <w:szCs w:val="32"/>
          <w:lang w:eastAsia="zh-CN"/>
        </w:rPr>
        <w:t>、国泰海通</w:t>
      </w:r>
      <w:r>
        <w:rPr>
          <w:rFonts w:hint="eastAsia" w:ascii="仿宋" w:hAnsi="仿宋" w:eastAsia="仿宋" w:cstheme="minorBidi"/>
          <w:sz w:val="32"/>
          <w:szCs w:val="32"/>
        </w:rPr>
        <w:t>证券</w:t>
      </w:r>
      <w:r>
        <w:rPr>
          <w:rFonts w:hint="eastAsia" w:ascii="仿宋" w:hAnsi="仿宋" w:eastAsia="仿宋" w:cs="仿宋"/>
          <w:sz w:val="32"/>
          <w:szCs w:val="32"/>
          <w:lang w:eastAsia="zh-CN"/>
        </w:rPr>
        <w:t>股份有限公司、中信建投证券股份有限公司</w:t>
      </w:r>
      <w:r>
        <w:rPr>
          <w:rFonts w:hint="eastAsia" w:ascii="仿宋" w:hAnsi="仿宋" w:eastAsia="仿宋" w:cs="仿宋"/>
          <w:sz w:val="32"/>
          <w:szCs w:val="32"/>
        </w:rPr>
        <w:t>：</w:t>
      </w:r>
    </w:p>
    <w:p>
      <w:pPr>
        <w:keepNext w:val="0"/>
        <w:keepLines w:val="0"/>
        <w:pageBreakBefore w:val="0"/>
        <w:widowControl w:val="0"/>
        <w:kinsoku/>
        <w:wordWrap/>
        <w:overflowPunct/>
        <w:topLinePunct/>
        <w:autoSpaceDE/>
        <w:autoSpaceDN/>
        <w:bidi w:val="0"/>
        <w:snapToGrid/>
        <w:spacing w:line="560" w:lineRule="exact"/>
        <w:ind w:firstLine="640" w:firstLineChars="200"/>
        <w:textAlignment w:val="auto"/>
        <w:rPr>
          <w:rFonts w:hint="eastAsia" w:ascii="仿宋" w:hAnsi="仿宋" w:eastAsia="仿宋" w:cs="Times New Roman"/>
          <w:sz w:val="32"/>
          <w:szCs w:val="32"/>
        </w:rPr>
      </w:pPr>
      <w:r>
        <w:rPr>
          <w:rFonts w:hint="eastAsia" w:ascii="仿宋" w:hAnsi="仿宋" w:eastAsia="仿宋" w:cs="仿宋"/>
          <w:sz w:val="32"/>
          <w:szCs w:val="32"/>
          <w:lang w:val="zh-CN"/>
        </w:rPr>
        <w:t>本所依据相关法规对20</w:t>
      </w:r>
      <w:r>
        <w:rPr>
          <w:rFonts w:hint="eastAsia" w:ascii="仿宋" w:hAnsi="仿宋" w:eastAsia="仿宋" w:cs="仿宋"/>
          <w:sz w:val="32"/>
          <w:szCs w:val="32"/>
          <w:lang w:val="en-US" w:eastAsia="zh-CN"/>
        </w:rPr>
        <w:t>26</w:t>
      </w:r>
      <w:r>
        <w:rPr>
          <w:rFonts w:hint="eastAsia" w:ascii="仿宋" w:hAnsi="仿宋" w:eastAsia="仿宋" w:cs="仿宋"/>
          <w:sz w:val="32"/>
          <w:szCs w:val="32"/>
          <w:lang w:val="zh-CN"/>
        </w:rPr>
        <w:t>年</w:t>
      </w:r>
      <w:r>
        <w:rPr>
          <w:rFonts w:hint="eastAsia" w:ascii="仿宋" w:hAnsi="仿宋" w:eastAsia="仿宋" w:cs="仿宋"/>
          <w:sz w:val="32"/>
          <w:szCs w:val="32"/>
          <w:lang w:val="en-US" w:eastAsia="zh-CN"/>
        </w:rPr>
        <w:t>9</w:t>
      </w:r>
      <w:r>
        <w:rPr>
          <w:rFonts w:hint="eastAsia" w:ascii="仿宋" w:hAnsi="仿宋" w:eastAsia="仿宋" w:cs="仿宋"/>
          <w:sz w:val="32"/>
          <w:szCs w:val="32"/>
          <w:lang w:val="zh-CN"/>
        </w:rPr>
        <w:t>月</w:t>
      </w:r>
      <w:r>
        <w:rPr>
          <w:rFonts w:hint="eastAsia" w:ascii="仿宋" w:hAnsi="仿宋" w:eastAsia="仿宋" w:cs="仿宋"/>
          <w:sz w:val="32"/>
          <w:szCs w:val="32"/>
          <w:lang w:val="en-US" w:eastAsia="zh-CN"/>
        </w:rPr>
        <w:t>21</w:t>
      </w:r>
      <w:r>
        <w:rPr>
          <w:rFonts w:hint="eastAsia" w:ascii="仿宋" w:hAnsi="仿宋" w:eastAsia="仿宋" w:cs="仿宋"/>
          <w:sz w:val="32"/>
          <w:szCs w:val="32"/>
          <w:lang w:val="zh-CN"/>
        </w:rPr>
        <w:t>日受理的</w:t>
      </w:r>
      <w:r>
        <w:rPr>
          <w:rFonts w:hint="eastAsia" w:ascii="仿宋" w:hAnsi="仿宋" w:eastAsia="仿宋"/>
          <w:sz w:val="32"/>
          <w:szCs w:val="30"/>
        </w:rPr>
        <w:t>一汽解放集团股份有限公司2026年面向专业投资者公开发行科技创新公司债券</w:t>
      </w:r>
      <w:r>
        <w:rPr>
          <w:rFonts w:hint="eastAsia" w:ascii="仿宋" w:hAnsi="仿宋" w:eastAsia="仿宋" w:cs="Times New Roman"/>
          <w:sz w:val="32"/>
          <w:szCs w:val="32"/>
          <w:lang w:val="zh-CN"/>
        </w:rPr>
        <w:t>并上市申请文件进行了审核，并形成如下反馈意见</w:t>
      </w:r>
      <w:r>
        <w:rPr>
          <w:rFonts w:hint="eastAsia" w:ascii="仿宋" w:hAnsi="仿宋" w:eastAsia="仿宋" w:cs="Times New Roman"/>
          <w:sz w:val="32"/>
          <w:szCs w:val="32"/>
        </w:rPr>
        <w:t>：</w:t>
      </w:r>
    </w:p>
    <w:p>
      <w:pPr>
        <w:keepNext w:val="0"/>
        <w:keepLines w:val="0"/>
        <w:pageBreakBefore w:val="0"/>
        <w:widowControl w:val="0"/>
        <w:kinsoku/>
        <w:wordWrap/>
        <w:overflowPunct/>
        <w:topLinePunct/>
        <w:autoSpaceDE/>
        <w:autoSpaceDN/>
        <w:bidi w:val="0"/>
        <w:snapToGrid/>
        <w:spacing w:line="560" w:lineRule="exact"/>
        <w:ind w:firstLine="640" w:firstLineChars="200"/>
        <w:textAlignment w:val="auto"/>
        <w:rPr>
          <w:rFonts w:hint="default" w:ascii="仿宋" w:hAnsi="仿宋" w:eastAsia="仿宋" w:cs="仿宋"/>
          <w:sz w:val="32"/>
          <w:szCs w:val="32"/>
          <w:highlight w:val="none"/>
          <w:lang w:val="en-US" w:eastAsia="zh-CN"/>
        </w:rPr>
      </w:pPr>
      <w:r>
        <w:rPr>
          <w:rFonts w:hint="eastAsia" w:ascii="仿宋" w:hAnsi="仿宋" w:eastAsia="仿宋" w:cs="Times New Roman"/>
          <w:sz w:val="32"/>
          <w:szCs w:val="32"/>
          <w:lang w:val="en-US" w:eastAsia="zh-CN"/>
        </w:rPr>
        <w:t>1.2023年至2025年度，发行人净利润分别为82,829.97万元、65,927.12万元和78,855.32万元，与政府补助相关的其他收益分别为54,684.00万元、61,825.88万元和59,061.96万元。请发行人补充披露政府补助的</w:t>
      </w:r>
      <w:r>
        <w:rPr>
          <w:rFonts w:hint="default" w:ascii="仿宋" w:hAnsi="仿宋" w:eastAsia="仿宋" w:cs="仿宋"/>
          <w:sz w:val="32"/>
          <w:szCs w:val="32"/>
          <w:highlight w:val="none"/>
          <w:lang w:val="en-US" w:eastAsia="zh-CN"/>
        </w:rPr>
        <w:t>的形成依据、实际收取情况及可持续性</w:t>
      </w:r>
      <w:r>
        <w:rPr>
          <w:rFonts w:hint="eastAsia" w:ascii="仿宋" w:hAnsi="仿宋" w:eastAsia="仿宋" w:cs="仿宋"/>
          <w:sz w:val="32"/>
          <w:szCs w:val="32"/>
          <w:highlight w:val="none"/>
          <w:lang w:val="en-US" w:eastAsia="zh-CN"/>
        </w:rPr>
        <w:t>，以及</w:t>
      </w:r>
      <w:r>
        <w:rPr>
          <w:rFonts w:hint="eastAsia" w:ascii="仿宋" w:hAnsi="仿宋" w:eastAsia="仿宋" w:cs="Times New Roman"/>
          <w:sz w:val="32"/>
          <w:szCs w:val="32"/>
          <w:lang w:val="en-US" w:eastAsia="zh-CN"/>
        </w:rPr>
        <w:t>政府补助占</w:t>
      </w:r>
      <w:r>
        <w:rPr>
          <w:rFonts w:hint="default" w:ascii="仿宋" w:hAnsi="仿宋" w:eastAsia="仿宋" w:cs="仿宋"/>
          <w:sz w:val="32"/>
          <w:szCs w:val="32"/>
          <w:highlight w:val="none"/>
          <w:lang w:val="en-US" w:eastAsia="zh-CN"/>
        </w:rPr>
        <w:t>净利润比例较高对发行人盈利能力和偿债能力的影响。</w:t>
      </w:r>
    </w:p>
    <w:p>
      <w:pPr>
        <w:keepNext w:val="0"/>
        <w:keepLines w:val="0"/>
        <w:pageBreakBefore w:val="0"/>
        <w:widowControl w:val="0"/>
        <w:kinsoku/>
        <w:wordWrap/>
        <w:overflowPunct/>
        <w:topLinePunct/>
        <w:autoSpaceDE/>
        <w:autoSpaceDN/>
        <w:bidi w:val="0"/>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请主承销商对上述事项进行核查并发表明确意见。</w:t>
      </w:r>
    </w:p>
    <w:p>
      <w:pPr>
        <w:keepNext w:val="0"/>
        <w:keepLines w:val="0"/>
        <w:pageBreakBefore w:val="0"/>
        <w:widowControl w:val="0"/>
        <w:numPr>
          <w:ilvl w:val="0"/>
          <w:numId w:val="0"/>
        </w:numPr>
        <w:kinsoku/>
        <w:wordWrap/>
        <w:overflowPunct/>
        <w:topLinePunct/>
        <w:autoSpaceDE/>
        <w:autoSpaceDN/>
        <w:bidi w:val="0"/>
        <w:snapToGrid/>
        <w:spacing w:line="560" w:lineRule="exact"/>
        <w:ind w:firstLine="640" w:firstLineChars="200"/>
        <w:textAlignment w:val="auto"/>
        <w:rPr>
          <w:rFonts w:hint="eastAsia" w:ascii="仿宋" w:hAnsi="仿宋" w:eastAsia="仿宋" w:cs="Times New Roman"/>
          <w:sz w:val="32"/>
          <w:szCs w:val="32"/>
          <w:lang w:eastAsia="zh-CN"/>
        </w:rPr>
      </w:pPr>
      <w:r>
        <w:rPr>
          <w:rFonts w:hint="eastAsia" w:ascii="仿宋" w:hAnsi="仿宋" w:eastAsia="仿宋" w:cs="Times New Roman"/>
          <w:sz w:val="32"/>
          <w:szCs w:val="32"/>
          <w:lang w:val="en-US" w:eastAsia="zh-CN"/>
        </w:rPr>
        <w:t>2.本次债券募集资金拟用于偿还有息债务、研发投入、项目建设、股权投资等用途。</w:t>
      </w:r>
      <w:r>
        <w:rPr>
          <w:rFonts w:hint="eastAsia" w:ascii="仿宋" w:hAnsi="仿宋" w:eastAsia="仿宋" w:cs="仿宋"/>
          <w:sz w:val="32"/>
          <w:szCs w:val="32"/>
          <w:highlight w:val="none"/>
          <w:lang w:val="en-US" w:eastAsia="zh-CN"/>
        </w:rPr>
        <w:t>请发行人根据《深圳证券交易所公司债券发行上市审核业务指引第1号——申请文件及其编制要求（2023年修订）》第三十四条、第三十五规定，完善相关信息披露。</w:t>
      </w:r>
    </w:p>
    <w:p>
      <w:pPr>
        <w:keepNext w:val="0"/>
        <w:keepLines w:val="0"/>
        <w:pageBreakBefore w:val="0"/>
        <w:widowControl w:val="0"/>
        <w:kinsoku/>
        <w:wordWrap/>
        <w:overflowPunct/>
        <w:topLinePunct/>
        <w:autoSpaceDE/>
        <w:autoSpaceDN/>
        <w:bidi w:val="0"/>
        <w:snapToGrid/>
        <w:spacing w:line="560" w:lineRule="exact"/>
        <w:ind w:firstLine="640" w:firstLineChars="200"/>
        <w:textAlignment w:val="auto"/>
        <w:rPr>
          <w:rFonts w:hint="eastAsia" w:ascii="仿宋" w:hAnsi="仿宋" w:eastAsia="仿宋" w:cs="Times New Roman"/>
          <w:sz w:val="32"/>
          <w:szCs w:val="32"/>
          <w:lang w:val="zh-CN" w:eastAsia="zh-CN"/>
        </w:rPr>
      </w:pPr>
      <w:r>
        <w:rPr>
          <w:rFonts w:hint="eastAsia" w:ascii="仿宋" w:hAnsi="仿宋" w:eastAsia="仿宋" w:cs="Times New Roman"/>
          <w:sz w:val="32"/>
          <w:szCs w:val="32"/>
          <w:lang w:val="zh-CN" w:eastAsia="zh-CN"/>
        </w:rPr>
        <w:t>请主承销商对上述事项进行核查并发表明确意见。</w:t>
      </w:r>
    </w:p>
    <w:p>
      <w:pPr>
        <w:keepNext w:val="0"/>
        <w:keepLines w:val="0"/>
        <w:pageBreakBefore w:val="0"/>
        <w:widowControl w:val="0"/>
        <w:kinsoku/>
        <w:wordWrap/>
        <w:overflowPunct/>
        <w:topLinePunct/>
        <w:autoSpaceDE/>
        <w:autoSpaceDN/>
        <w:bidi w:val="0"/>
        <w:adjustRightInd/>
        <w:snapToGrid/>
        <w:spacing w:line="560" w:lineRule="exact"/>
        <w:ind w:firstLine="707" w:firstLineChars="221"/>
        <w:textAlignment w:val="auto"/>
        <w:rPr>
          <w:rFonts w:hint="eastAsia" w:ascii="仿宋" w:hAnsi="仿宋" w:eastAsia="仿宋" w:cs="仿宋"/>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根据《深圳证券交易所公司债券发行上市审核规则》等有关规定，</w:t>
      </w:r>
      <w:r>
        <w:rPr>
          <w:rFonts w:hint="eastAsia" w:ascii="仿宋" w:hAnsi="仿宋" w:eastAsia="仿宋" w:cs="仿宋"/>
          <w:i/>
          <w:sz w:val="32"/>
          <w:szCs w:val="32"/>
          <w:u w:val="single"/>
        </w:rPr>
        <w:t>请你公司对上述问题逐项落实并在30个工作日内提交回复意见</w:t>
      </w:r>
      <w:r>
        <w:rPr>
          <w:rFonts w:hint="eastAsia" w:ascii="仿宋" w:hAnsi="仿宋" w:eastAsia="仿宋" w:cs="仿宋"/>
          <w:sz w:val="32"/>
          <w:szCs w:val="32"/>
        </w:rPr>
        <w:t>。不能按期回复的，请于到期日前向本所提交延期回复的申请，并说明理由。</w:t>
      </w:r>
      <w:r>
        <w:rPr>
          <w:rFonts w:hint="eastAsia" w:ascii="仿宋" w:hAnsi="仿宋" w:eastAsia="仿宋" w:cs="仿宋"/>
          <w:i/>
          <w:sz w:val="32"/>
          <w:szCs w:val="32"/>
          <w:u w:val="single"/>
        </w:rPr>
        <w:t>延期时间最长不超过30个工作日。</w:t>
      </w:r>
      <w:r>
        <w:rPr>
          <w:rFonts w:hint="eastAsia" w:ascii="仿宋" w:hAnsi="仿宋" w:eastAsia="仿宋" w:cs="仿宋"/>
          <w:sz w:val="32"/>
          <w:szCs w:val="32"/>
        </w:rPr>
        <w:t>未在上述期限内回复意见，且未按期提交延期回复的申请；或者按期提交延期回复的申请，但未说明理由或者理由不充分的；或者未在延期时间内提交前述相关材料且未申请中止审核的，本所可作出终止审核的决定。</w:t>
      </w:r>
      <w:r>
        <w:rPr>
          <w:rFonts w:hint="eastAsia" w:ascii="仿宋" w:hAnsi="仿宋" w:eastAsia="仿宋" w:cs="仿宋"/>
          <w:i/>
          <w:sz w:val="32"/>
          <w:szCs w:val="32"/>
          <w:u w:val="single"/>
        </w:rPr>
        <w:t>反馈回复涉及修改募集说明书的，请以楷体加粗标明。</w:t>
      </w:r>
      <w:r>
        <w:rPr>
          <w:rFonts w:hint="eastAsia" w:ascii="仿宋" w:hAnsi="仿宋" w:eastAsia="仿宋" w:cs="仿宋"/>
          <w:sz w:val="32"/>
          <w:szCs w:val="32"/>
        </w:rPr>
        <w:t>若对本反馈意见有任何问题，请致电本所审核人员（姓名及电话附后）</w:t>
      </w:r>
      <w:r>
        <w:rPr>
          <w:rFonts w:hint="eastAsia" w:ascii="仿宋" w:hAnsi="仿宋" w:eastAsia="仿宋" w:cs="仿宋"/>
          <w:sz w:val="32"/>
          <w:szCs w:val="32"/>
          <w:lang w:eastAsia="zh-CN"/>
        </w:rPr>
        <w:t>。</w:t>
      </w:r>
    </w:p>
    <w:p>
      <w:pPr>
        <w:pStyle w:val="6"/>
        <w:pageBreakBefore w:val="0"/>
        <w:widowControl w:val="0"/>
        <w:kinsoku/>
        <w:wordWrap/>
        <w:overflowPunct/>
        <w:autoSpaceDE/>
        <w:autoSpaceDN/>
        <w:bidi w:val="0"/>
        <w:spacing w:line="560" w:lineRule="exact"/>
        <w:textAlignment w:val="auto"/>
        <w:rPr>
          <w:rFonts w:hint="eastAsia"/>
          <w:sz w:val="32"/>
          <w:szCs w:val="32"/>
        </w:rPr>
      </w:pPr>
    </w:p>
    <w:p>
      <w:pPr>
        <w:keepNext w:val="0"/>
        <w:keepLines w:val="0"/>
        <w:pageBreakBefore w:val="0"/>
        <w:widowControl w:val="0"/>
        <w:kinsoku/>
        <w:wordWrap/>
        <w:overflowPunct/>
        <w:topLinePunct/>
        <w:autoSpaceDE/>
        <w:autoSpaceDN/>
        <w:bidi w:val="0"/>
        <w:adjustRightInd/>
        <w:snapToGrid/>
        <w:spacing w:line="560" w:lineRule="exact"/>
        <w:ind w:right="25" w:rightChars="12"/>
        <w:jc w:val="left"/>
        <w:textAlignment w:val="auto"/>
        <w:rPr>
          <w:rFonts w:hint="eastAsia" w:ascii="仿宋" w:hAnsi="仿宋" w:eastAsia="仿宋" w:cs="仿宋"/>
          <w:sz w:val="32"/>
          <w:szCs w:val="32"/>
        </w:rPr>
      </w:pPr>
      <w:r>
        <w:rPr>
          <w:rFonts w:hint="eastAsia" w:ascii="仿宋" w:hAnsi="仿宋" w:eastAsia="仿宋" w:cs="仿宋"/>
          <w:sz w:val="32"/>
          <w:szCs w:val="32"/>
        </w:rPr>
        <w:t>审核员：</w:t>
      </w:r>
      <w:r>
        <w:rPr>
          <w:rFonts w:hint="eastAsia" w:ascii="仿宋" w:hAnsi="仿宋" w:eastAsia="仿宋" w:cs="仿宋"/>
          <w:sz w:val="32"/>
          <w:szCs w:val="32"/>
          <w:lang w:eastAsia="zh-CN"/>
        </w:rPr>
        <w:t>覃先生</w:t>
      </w:r>
      <w:r>
        <w:rPr>
          <w:rFonts w:hint="eastAsia" w:ascii="仿宋" w:hAnsi="仿宋" w:eastAsia="仿宋" w:cs="仿宋"/>
          <w:sz w:val="32"/>
          <w:szCs w:val="32"/>
        </w:rPr>
        <w:t>、</w:t>
      </w:r>
      <w:r>
        <w:rPr>
          <w:rFonts w:hint="eastAsia" w:ascii="仿宋" w:hAnsi="仿宋" w:eastAsia="仿宋" w:cs="仿宋"/>
          <w:sz w:val="32"/>
          <w:szCs w:val="32"/>
          <w:lang w:eastAsia="zh-CN"/>
        </w:rPr>
        <w:t>刘先生</w:t>
      </w:r>
    </w:p>
    <w:p>
      <w:pPr>
        <w:keepNext w:val="0"/>
        <w:keepLines w:val="0"/>
        <w:pageBreakBefore w:val="0"/>
        <w:widowControl w:val="0"/>
        <w:kinsoku/>
        <w:wordWrap/>
        <w:overflowPunct/>
        <w:topLinePunct/>
        <w:autoSpaceDE/>
        <w:autoSpaceDN/>
        <w:bidi w:val="0"/>
        <w:adjustRightInd/>
        <w:snapToGrid/>
        <w:spacing w:line="560" w:lineRule="exact"/>
        <w:ind w:right="25" w:rightChars="12"/>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rPr>
        <w:t>电话：</w:t>
      </w:r>
      <w:bookmarkStart w:id="0" w:name="OLE_LINK1"/>
      <w:r>
        <w:rPr>
          <w:rFonts w:hint="eastAsia" w:ascii="仿宋" w:hAnsi="仿宋" w:eastAsia="仿宋" w:cs="仿宋"/>
          <w:sz w:val="32"/>
          <w:szCs w:val="32"/>
        </w:rPr>
        <w:t>0755-8866</w:t>
      </w:r>
      <w:r>
        <w:rPr>
          <w:rFonts w:hint="eastAsia" w:ascii="仿宋" w:hAnsi="仿宋" w:eastAsia="仿宋" w:cs="仿宋"/>
          <w:sz w:val="32"/>
          <w:szCs w:val="32"/>
          <w:lang w:val="en-US" w:eastAsia="zh-CN"/>
        </w:rPr>
        <w:t xml:space="preserve"> 6609</w:t>
      </w:r>
    </w:p>
    <w:p>
      <w:pPr>
        <w:keepNext w:val="0"/>
        <w:keepLines w:val="0"/>
        <w:pageBreakBefore w:val="0"/>
        <w:widowControl w:val="0"/>
        <w:kinsoku/>
        <w:wordWrap/>
        <w:overflowPunct/>
        <w:topLinePunct/>
        <w:autoSpaceDE/>
        <w:autoSpaceDN/>
        <w:bidi w:val="0"/>
        <w:adjustRightInd/>
        <w:snapToGrid/>
        <w:spacing w:line="560" w:lineRule="exact"/>
        <w:ind w:right="25" w:rightChars="12"/>
        <w:jc w:val="left"/>
        <w:textAlignment w:val="auto"/>
        <w:rPr>
          <w:rFonts w:hint="eastAsia" w:ascii="仿宋" w:hAnsi="仿宋" w:eastAsia="仿宋" w:cs="仿宋"/>
          <w:sz w:val="32"/>
          <w:szCs w:val="32"/>
        </w:rPr>
      </w:pPr>
      <w:r>
        <w:rPr>
          <w:rFonts w:hint="eastAsia" w:ascii="仿宋" w:hAnsi="仿宋" w:eastAsia="仿宋" w:cs="仿宋"/>
          <w:sz w:val="32"/>
          <w:szCs w:val="32"/>
          <w:lang w:eastAsia="zh"/>
        </w:rPr>
        <w:t>邮箱：</w:t>
      </w:r>
      <w:r>
        <w:rPr>
          <w:rFonts w:hint="eastAsia" w:ascii="仿宋" w:hAnsi="仿宋" w:eastAsia="仿宋" w:cs="仿宋"/>
          <w:sz w:val="32"/>
          <w:szCs w:val="32"/>
          <w:lang w:val="en-US" w:eastAsia="zh-CN"/>
        </w:rPr>
        <w:t>jqqin</w:t>
      </w:r>
      <w:r>
        <w:rPr>
          <w:rFonts w:hint="eastAsia" w:ascii="仿宋" w:hAnsi="仿宋" w:eastAsia="仿宋" w:cs="仿宋"/>
          <w:sz w:val="32"/>
          <w:szCs w:val="32"/>
          <w:lang w:eastAsia="zh"/>
        </w:rPr>
        <w:t>@szse.cn</w:t>
      </w:r>
    </w:p>
    <w:p>
      <w:pPr>
        <w:keepNext w:val="0"/>
        <w:keepLines w:val="0"/>
        <w:pageBreakBefore w:val="0"/>
        <w:widowControl w:val="0"/>
        <w:kinsoku/>
        <w:wordWrap/>
        <w:overflowPunct/>
        <w:topLinePunct/>
        <w:autoSpaceDE/>
        <w:autoSpaceDN/>
        <w:bidi w:val="0"/>
        <w:adjustRightInd/>
        <w:snapToGrid/>
        <w:spacing w:line="560" w:lineRule="exact"/>
        <w:ind w:left="4620" w:leftChars="2200" w:right="25" w:rightChars="12"/>
        <w:jc w:val="right"/>
        <w:textAlignment w:val="auto"/>
        <w:rPr>
          <w:rFonts w:hint="eastAsia" w:ascii="仿宋" w:hAnsi="仿宋" w:eastAsia="仿宋" w:cs="仿宋"/>
          <w:sz w:val="32"/>
          <w:szCs w:val="32"/>
        </w:rPr>
      </w:pPr>
    </w:p>
    <w:p>
      <w:pPr>
        <w:keepNext w:val="0"/>
        <w:keepLines w:val="0"/>
        <w:pageBreakBefore w:val="0"/>
        <w:widowControl w:val="0"/>
        <w:kinsoku/>
        <w:wordWrap/>
        <w:overflowPunct/>
        <w:topLinePunct/>
        <w:autoSpaceDE/>
        <w:autoSpaceDN/>
        <w:bidi w:val="0"/>
        <w:adjustRightInd/>
        <w:snapToGrid/>
        <w:spacing w:line="560" w:lineRule="exact"/>
        <w:ind w:left="4620" w:leftChars="2200" w:right="25" w:rightChars="12"/>
        <w:jc w:val="right"/>
        <w:textAlignment w:val="auto"/>
        <w:rPr>
          <w:rFonts w:hint="eastAsia" w:ascii="仿宋" w:hAnsi="仿宋" w:eastAsia="仿宋" w:cs="仿宋"/>
          <w:sz w:val="32"/>
          <w:szCs w:val="32"/>
        </w:rPr>
      </w:pPr>
      <w:r>
        <w:rPr>
          <w:rFonts w:hint="eastAsia" w:ascii="仿宋" w:hAnsi="仿宋" w:eastAsia="仿宋" w:cs="仿宋"/>
          <w:sz w:val="32"/>
          <w:szCs w:val="32"/>
        </w:rPr>
        <w:t>深圳证券交易所</w:t>
      </w:r>
      <w:bookmarkEnd w:id="0"/>
    </w:p>
    <w:p>
      <w:pPr>
        <w:keepNext w:val="0"/>
        <w:keepLines w:val="0"/>
        <w:pageBreakBefore w:val="0"/>
        <w:widowControl w:val="0"/>
        <w:kinsoku/>
        <w:wordWrap/>
        <w:overflowPunct/>
        <w:topLinePunct/>
        <w:autoSpaceDE/>
        <w:autoSpaceDN/>
        <w:bidi w:val="0"/>
        <w:adjustRightInd/>
        <w:snapToGrid/>
        <w:spacing w:line="560" w:lineRule="exact"/>
        <w:ind w:left="4620" w:leftChars="2200" w:right="25" w:rightChars="12"/>
        <w:jc w:val="right"/>
        <w:textAlignment w:val="auto"/>
        <w:rPr>
          <w:rFonts w:hint="eastAsia" w:ascii="仿宋" w:hAnsi="仿宋" w:eastAsia="仿宋" w:cs="仿宋"/>
          <w:sz w:val="32"/>
          <w:szCs w:val="32"/>
        </w:rPr>
      </w:pPr>
      <w:r>
        <w:rPr>
          <w:rFonts w:hint="eastAsia" w:ascii="仿宋" w:hAnsi="仿宋" w:eastAsia="仿宋" w:cs="仿宋"/>
          <w:sz w:val="32"/>
          <w:szCs w:val="32"/>
        </w:rPr>
        <w:t>债券业务</w:t>
      </w:r>
      <w:r>
        <w:rPr>
          <w:rFonts w:hint="eastAsia" w:ascii="仿宋" w:hAnsi="仿宋" w:eastAsia="仿宋" w:cs="仿宋"/>
          <w:sz w:val="32"/>
          <w:szCs w:val="32"/>
          <w:lang w:eastAsia="zh-CN"/>
        </w:rPr>
        <w:t>中心</w:t>
      </w:r>
    </w:p>
    <w:p>
      <w:pPr>
        <w:keepNext w:val="0"/>
        <w:keepLines w:val="0"/>
        <w:pageBreakBefore w:val="0"/>
        <w:widowControl w:val="0"/>
        <w:kinsoku/>
        <w:wordWrap/>
        <w:overflowPunct/>
        <w:topLinePunct/>
        <w:autoSpaceDE/>
        <w:autoSpaceDN/>
        <w:bidi w:val="0"/>
        <w:adjustRightInd/>
        <w:snapToGrid/>
        <w:spacing w:line="560" w:lineRule="exact"/>
        <w:ind w:left="4620" w:leftChars="2200" w:right="25" w:rightChars="12"/>
        <w:jc w:val="righ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2026</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28</w:t>
      </w:r>
      <w:r>
        <w:rPr>
          <w:rFonts w:hint="eastAsia" w:ascii="仿宋" w:hAnsi="仿宋" w:eastAsia="仿宋" w:cs="仿宋"/>
          <w:sz w:val="32"/>
          <w:szCs w:val="32"/>
        </w:rPr>
        <w:t>日</w:t>
      </w:r>
    </w:p>
    <w:sectPr>
      <w:footerReference r:id="rId3" w:type="default"/>
      <w:pgSz w:w="11906" w:h="16838"/>
      <w:pgMar w:top="1440" w:right="1800" w:bottom="1440" w:left="1800" w:header="851" w:footer="992" w:gutter="0"/>
      <w:cols w:space="720" w:num="1"/>
      <w:formProt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Kingsoft Sign">
    <w:panose1 w:val="05050102010706020507"/>
    <w:charset w:val="00"/>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&#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hDu4dIBAACjAwAADgAAAAAAAAABACAAAAAi&#10;AQAAZHJzL2Uyb0RvYy54bWxQSwUGAAAAAAYABgBZAQAAZgUAAAAA&#10;">
              <v:fill on="f" focussize="0,0"/>
              <v:stroke on="f" weight="1.2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forms" w:enforcement="0"/>
  <w:defaultTabStop w:val="420"/>
  <w:hyphenationZone w:val="360"/>
  <w:drawingGridHorizontalSpacing w:val="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F14"/>
    <w:rsid w:val="000249E5"/>
    <w:rsid w:val="00063E8D"/>
    <w:rsid w:val="00067941"/>
    <w:rsid w:val="00072BFE"/>
    <w:rsid w:val="00083AE3"/>
    <w:rsid w:val="000A0AFE"/>
    <w:rsid w:val="000C42AC"/>
    <w:rsid w:val="000F5608"/>
    <w:rsid w:val="00104188"/>
    <w:rsid w:val="00117000"/>
    <w:rsid w:val="00121F9D"/>
    <w:rsid w:val="001405B9"/>
    <w:rsid w:val="00177038"/>
    <w:rsid w:val="001864EA"/>
    <w:rsid w:val="001B01FA"/>
    <w:rsid w:val="001D4D1E"/>
    <w:rsid w:val="001E300A"/>
    <w:rsid w:val="001F0D21"/>
    <w:rsid w:val="001F2B6C"/>
    <w:rsid w:val="0025037F"/>
    <w:rsid w:val="002878E1"/>
    <w:rsid w:val="002A2DC1"/>
    <w:rsid w:val="002B714C"/>
    <w:rsid w:val="002B77FF"/>
    <w:rsid w:val="002E090A"/>
    <w:rsid w:val="002F1E0D"/>
    <w:rsid w:val="00312BBD"/>
    <w:rsid w:val="00313659"/>
    <w:rsid w:val="003346B5"/>
    <w:rsid w:val="00361727"/>
    <w:rsid w:val="003822FB"/>
    <w:rsid w:val="003949D4"/>
    <w:rsid w:val="0040203E"/>
    <w:rsid w:val="004127D8"/>
    <w:rsid w:val="00445F26"/>
    <w:rsid w:val="00447DF6"/>
    <w:rsid w:val="004506AE"/>
    <w:rsid w:val="004771CD"/>
    <w:rsid w:val="004975D7"/>
    <w:rsid w:val="004C446F"/>
    <w:rsid w:val="004C6C81"/>
    <w:rsid w:val="004D5A18"/>
    <w:rsid w:val="004D6592"/>
    <w:rsid w:val="00533F59"/>
    <w:rsid w:val="00555730"/>
    <w:rsid w:val="0056735B"/>
    <w:rsid w:val="0057166B"/>
    <w:rsid w:val="0058550F"/>
    <w:rsid w:val="005C1A28"/>
    <w:rsid w:val="005E2162"/>
    <w:rsid w:val="0060450A"/>
    <w:rsid w:val="00626F6A"/>
    <w:rsid w:val="006340DA"/>
    <w:rsid w:val="00634668"/>
    <w:rsid w:val="00636700"/>
    <w:rsid w:val="0066252F"/>
    <w:rsid w:val="00672910"/>
    <w:rsid w:val="00695262"/>
    <w:rsid w:val="006A185B"/>
    <w:rsid w:val="006B4F47"/>
    <w:rsid w:val="006C5401"/>
    <w:rsid w:val="007254AE"/>
    <w:rsid w:val="007340DE"/>
    <w:rsid w:val="00752EE7"/>
    <w:rsid w:val="007630BA"/>
    <w:rsid w:val="00765C40"/>
    <w:rsid w:val="007773CC"/>
    <w:rsid w:val="007A38CF"/>
    <w:rsid w:val="007A71C0"/>
    <w:rsid w:val="007C133B"/>
    <w:rsid w:val="007C661F"/>
    <w:rsid w:val="0080000C"/>
    <w:rsid w:val="00804400"/>
    <w:rsid w:val="00840E68"/>
    <w:rsid w:val="0085060D"/>
    <w:rsid w:val="00854620"/>
    <w:rsid w:val="00862EF2"/>
    <w:rsid w:val="008732E8"/>
    <w:rsid w:val="00876976"/>
    <w:rsid w:val="008801C1"/>
    <w:rsid w:val="00881FE1"/>
    <w:rsid w:val="00893D83"/>
    <w:rsid w:val="00894C83"/>
    <w:rsid w:val="00894DCA"/>
    <w:rsid w:val="008A6C0C"/>
    <w:rsid w:val="008B2E4B"/>
    <w:rsid w:val="008B566C"/>
    <w:rsid w:val="00904261"/>
    <w:rsid w:val="00910370"/>
    <w:rsid w:val="009267BE"/>
    <w:rsid w:val="009449D5"/>
    <w:rsid w:val="00950116"/>
    <w:rsid w:val="009771E1"/>
    <w:rsid w:val="009D2D9A"/>
    <w:rsid w:val="009E7408"/>
    <w:rsid w:val="009F655C"/>
    <w:rsid w:val="00A13699"/>
    <w:rsid w:val="00A31D9B"/>
    <w:rsid w:val="00A43F14"/>
    <w:rsid w:val="00A51889"/>
    <w:rsid w:val="00A549BB"/>
    <w:rsid w:val="00A54DE1"/>
    <w:rsid w:val="00A927FD"/>
    <w:rsid w:val="00AB2158"/>
    <w:rsid w:val="00AB31CB"/>
    <w:rsid w:val="00AC5D8E"/>
    <w:rsid w:val="00AE1F56"/>
    <w:rsid w:val="00AE2D8A"/>
    <w:rsid w:val="00B06CAD"/>
    <w:rsid w:val="00B42227"/>
    <w:rsid w:val="00B451BA"/>
    <w:rsid w:val="00B53427"/>
    <w:rsid w:val="00B56BB8"/>
    <w:rsid w:val="00B733C6"/>
    <w:rsid w:val="00B736BD"/>
    <w:rsid w:val="00B74827"/>
    <w:rsid w:val="00B97B4C"/>
    <w:rsid w:val="00BF2944"/>
    <w:rsid w:val="00C3484B"/>
    <w:rsid w:val="00C634C0"/>
    <w:rsid w:val="00C72D54"/>
    <w:rsid w:val="00CB109F"/>
    <w:rsid w:val="00CE46CF"/>
    <w:rsid w:val="00CE5420"/>
    <w:rsid w:val="00CF7DE6"/>
    <w:rsid w:val="00D079D2"/>
    <w:rsid w:val="00D23540"/>
    <w:rsid w:val="00D245E6"/>
    <w:rsid w:val="00D315F6"/>
    <w:rsid w:val="00D65851"/>
    <w:rsid w:val="00D770A7"/>
    <w:rsid w:val="00D95FA8"/>
    <w:rsid w:val="00DE3EA8"/>
    <w:rsid w:val="00DF150C"/>
    <w:rsid w:val="00DF3BAD"/>
    <w:rsid w:val="00E22E19"/>
    <w:rsid w:val="00E878FA"/>
    <w:rsid w:val="00E87D34"/>
    <w:rsid w:val="00EB3D80"/>
    <w:rsid w:val="00EB4FED"/>
    <w:rsid w:val="00ED68A7"/>
    <w:rsid w:val="00EF5B33"/>
    <w:rsid w:val="00F07B2E"/>
    <w:rsid w:val="00F126DE"/>
    <w:rsid w:val="00F210E0"/>
    <w:rsid w:val="00F32F05"/>
    <w:rsid w:val="00F5181C"/>
    <w:rsid w:val="00F73640"/>
    <w:rsid w:val="00F939EE"/>
    <w:rsid w:val="00FA76FA"/>
    <w:rsid w:val="00FD24A8"/>
    <w:rsid w:val="00FF569B"/>
    <w:rsid w:val="00FF5894"/>
    <w:rsid w:val="015A6124"/>
    <w:rsid w:val="01EB7F65"/>
    <w:rsid w:val="06377A25"/>
    <w:rsid w:val="066A01BF"/>
    <w:rsid w:val="074802F6"/>
    <w:rsid w:val="085F0C3A"/>
    <w:rsid w:val="0ABC6BEA"/>
    <w:rsid w:val="0BF26F61"/>
    <w:rsid w:val="0E3C6BD4"/>
    <w:rsid w:val="0E5104B9"/>
    <w:rsid w:val="1034144E"/>
    <w:rsid w:val="10EC4CD3"/>
    <w:rsid w:val="13AA5AD0"/>
    <w:rsid w:val="15272614"/>
    <w:rsid w:val="15E63BCB"/>
    <w:rsid w:val="17FB6855"/>
    <w:rsid w:val="1829219F"/>
    <w:rsid w:val="18362417"/>
    <w:rsid w:val="18B47345"/>
    <w:rsid w:val="18D22A62"/>
    <w:rsid w:val="1AE25E98"/>
    <w:rsid w:val="1B8E27C3"/>
    <w:rsid w:val="1F510949"/>
    <w:rsid w:val="21C40374"/>
    <w:rsid w:val="25F113B2"/>
    <w:rsid w:val="28C95BBB"/>
    <w:rsid w:val="2B9924C4"/>
    <w:rsid w:val="2D853C48"/>
    <w:rsid w:val="2F2B7FC7"/>
    <w:rsid w:val="2FEC5A48"/>
    <w:rsid w:val="30065B74"/>
    <w:rsid w:val="311A6943"/>
    <w:rsid w:val="31CB52D1"/>
    <w:rsid w:val="34021400"/>
    <w:rsid w:val="37AF44B3"/>
    <w:rsid w:val="386A0C9E"/>
    <w:rsid w:val="3922564E"/>
    <w:rsid w:val="39936460"/>
    <w:rsid w:val="3B9D6CEF"/>
    <w:rsid w:val="3BFC0B7A"/>
    <w:rsid w:val="3C92747B"/>
    <w:rsid w:val="3D591DE9"/>
    <w:rsid w:val="3E025A4C"/>
    <w:rsid w:val="3EFF6BE9"/>
    <w:rsid w:val="3FEB4D6D"/>
    <w:rsid w:val="404C763D"/>
    <w:rsid w:val="42481FEA"/>
    <w:rsid w:val="44F41586"/>
    <w:rsid w:val="45A270F9"/>
    <w:rsid w:val="45D70058"/>
    <w:rsid w:val="465B4E6D"/>
    <w:rsid w:val="48720875"/>
    <w:rsid w:val="4A761B16"/>
    <w:rsid w:val="4CAA1530"/>
    <w:rsid w:val="4D2B4DD9"/>
    <w:rsid w:val="5193674A"/>
    <w:rsid w:val="52EA4E20"/>
    <w:rsid w:val="55F36E24"/>
    <w:rsid w:val="56A53D1D"/>
    <w:rsid w:val="57F6D693"/>
    <w:rsid w:val="5900007A"/>
    <w:rsid w:val="5A9A7E6B"/>
    <w:rsid w:val="5BFF4F29"/>
    <w:rsid w:val="5C0C4088"/>
    <w:rsid w:val="5DBFC952"/>
    <w:rsid w:val="5DF73237"/>
    <w:rsid w:val="5EFE2843"/>
    <w:rsid w:val="5FAAD319"/>
    <w:rsid w:val="624F722B"/>
    <w:rsid w:val="65015320"/>
    <w:rsid w:val="662140C1"/>
    <w:rsid w:val="66CAB24E"/>
    <w:rsid w:val="67F452E2"/>
    <w:rsid w:val="69480F1C"/>
    <w:rsid w:val="6A7E0B45"/>
    <w:rsid w:val="6B0655A6"/>
    <w:rsid w:val="6B484F1F"/>
    <w:rsid w:val="6E505D0A"/>
    <w:rsid w:val="6F0FC0E5"/>
    <w:rsid w:val="6FB85328"/>
    <w:rsid w:val="6FBB581D"/>
    <w:rsid w:val="724B2010"/>
    <w:rsid w:val="736E1B26"/>
    <w:rsid w:val="739432AB"/>
    <w:rsid w:val="73FE9A20"/>
    <w:rsid w:val="748D0491"/>
    <w:rsid w:val="74937C70"/>
    <w:rsid w:val="796E3958"/>
    <w:rsid w:val="7A4D08B4"/>
    <w:rsid w:val="7C0E12FE"/>
    <w:rsid w:val="7C607301"/>
    <w:rsid w:val="7DB88D4F"/>
    <w:rsid w:val="7E532880"/>
    <w:rsid w:val="7F5EAA83"/>
    <w:rsid w:val="7FC6E229"/>
    <w:rsid w:val="DFFDD651"/>
    <w:rsid w:val="E3B354E2"/>
    <w:rsid w:val="FB3E8FC2"/>
    <w:rsid w:val="FF5FBB20"/>
    <w:rsid w:val="FF7F652C"/>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semiHidden="0"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unhideWhenUsed/>
    <w:qFormat/>
    <w:uiPriority w:val="9"/>
    <w:pPr>
      <w:keepNext/>
      <w:keepLines/>
      <w:tabs>
        <w:tab w:val="left" w:pos="0"/>
      </w:tabs>
      <w:adjustRightInd w:val="0"/>
      <w:snapToGrid w:val="0"/>
      <w:spacing w:line="560" w:lineRule="exact"/>
      <w:ind w:left="0" w:leftChars="0" w:firstLine="538" w:firstLineChars="200"/>
      <w:jc w:val="left"/>
      <w:outlineLvl w:val="1"/>
    </w:pPr>
    <w:rPr>
      <w:rFonts w:ascii="楷体" w:hAnsi="楷体" w:eastAsia="楷体" w:cstheme="majorBidi"/>
    </w:rPr>
  </w:style>
  <w:style w:type="character" w:default="1" w:styleId="14">
    <w:name w:val="Default Paragraph Font"/>
    <w:uiPriority w:val="0"/>
  </w:style>
  <w:style w:type="table" w:default="1" w:styleId="13">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1"/>
    <w:pPr>
      <w:spacing w:after="120" w:line="360" w:lineRule="auto"/>
    </w:pPr>
    <w:rPr>
      <w:rFonts w:ascii="Times New Roman" w:hAnsi="Times New Roman" w:eastAsia="宋体" w:cs="Times New Roman"/>
      <w:kern w:val="0"/>
      <w:sz w:val="20"/>
      <w:szCs w:val="24"/>
    </w:rPr>
  </w:style>
  <w:style w:type="paragraph" w:styleId="3">
    <w:name w:val="Body Text 2"/>
    <w:next w:val="2"/>
    <w:semiHidden/>
    <w:unhideWhenUsed/>
    <w:qFormat/>
    <w:uiPriority w:val="99"/>
    <w:pPr>
      <w:widowControl w:val="0"/>
      <w:spacing w:after="120" w:line="480" w:lineRule="auto"/>
      <w:jc w:val="both"/>
    </w:pPr>
    <w:rPr>
      <w:rFonts w:ascii="Times New Roman" w:hAnsi="Times New Roman" w:eastAsia="宋体" w:cs="Times New Roman"/>
      <w:kern w:val="2"/>
      <w:sz w:val="21"/>
      <w:szCs w:val="24"/>
      <w:lang w:val="en-US" w:eastAsia="zh-CN" w:bidi="ar-SA"/>
    </w:rPr>
  </w:style>
  <w:style w:type="paragraph" w:styleId="5">
    <w:name w:val="annotation text"/>
    <w:basedOn w:val="1"/>
    <w:link w:val="16"/>
    <w:unhideWhenUsed/>
    <w:qFormat/>
    <w:uiPriority w:val="99"/>
    <w:pPr>
      <w:jc w:val="left"/>
    </w:pPr>
  </w:style>
  <w:style w:type="paragraph" w:styleId="6">
    <w:name w:val="Body Text Indent"/>
    <w:basedOn w:val="1"/>
    <w:next w:val="7"/>
    <w:qFormat/>
    <w:uiPriority w:val="0"/>
    <w:pPr>
      <w:tabs>
        <w:tab w:val="left" w:pos="7020"/>
      </w:tabs>
      <w:spacing w:line="600" w:lineRule="exact"/>
      <w:ind w:firstLine="600" w:firstLineChars="200"/>
    </w:pPr>
    <w:rPr>
      <w:rFonts w:ascii="仿宋_GB2312" w:eastAsia="仿宋_GB2312"/>
      <w:sz w:val="30"/>
      <w:szCs w:val="24"/>
    </w:rPr>
  </w:style>
  <w:style w:type="paragraph" w:styleId="7">
    <w:name w:val="Body Text Indent 2"/>
    <w:basedOn w:val="1"/>
    <w:next w:val="1"/>
    <w:qFormat/>
    <w:uiPriority w:val="99"/>
    <w:pPr>
      <w:spacing w:line="360" w:lineRule="auto"/>
      <w:ind w:firstLine="495"/>
    </w:pPr>
    <w:rPr>
      <w:rFonts w:ascii="宋体"/>
      <w:kern w:val="0"/>
      <w:sz w:val="24"/>
      <w:szCs w:val="20"/>
    </w:rPr>
  </w:style>
  <w:style w:type="paragraph" w:styleId="8">
    <w:name w:val="Balloon Text"/>
    <w:basedOn w:val="1"/>
    <w:link w:val="17"/>
    <w:unhideWhenUsed/>
    <w:qFormat/>
    <w:uiPriority w:val="99"/>
    <w:rPr>
      <w:sz w:val="18"/>
      <w:szCs w:val="18"/>
    </w:r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5"/>
    <w:next w:val="5"/>
    <w:link w:val="20"/>
    <w:unhideWhenUsed/>
    <w:qFormat/>
    <w:uiPriority w:val="99"/>
    <w:rPr>
      <w:b/>
      <w:bCs/>
    </w:rPr>
  </w:style>
  <w:style w:type="paragraph" w:styleId="12">
    <w:name w:val="Body Text First Indent"/>
    <w:semiHidden/>
    <w:unhideWhenUsed/>
    <w:qFormat/>
    <w:uiPriority w:val="99"/>
    <w:pPr>
      <w:widowControl w:val="0"/>
      <w:spacing w:after="120" w:afterLines="0" w:afterAutospacing="0" w:line="560" w:lineRule="exact"/>
      <w:ind w:left="0" w:leftChars="0" w:firstLine="420" w:firstLineChars="100"/>
      <w:jc w:val="both"/>
    </w:pPr>
    <w:rPr>
      <w:rFonts w:ascii="仿宋" w:hAnsi="仿宋" w:eastAsia="仿宋" w:cs="仿宋"/>
      <w:kern w:val="2"/>
      <w:sz w:val="32"/>
      <w:szCs w:val="32"/>
      <w:lang w:val="en-US" w:eastAsia="zh-CN" w:bidi="ar-SA"/>
    </w:rPr>
  </w:style>
  <w:style w:type="character" w:styleId="15">
    <w:name w:val="annotation reference"/>
    <w:unhideWhenUsed/>
    <w:qFormat/>
    <w:uiPriority w:val="99"/>
    <w:rPr>
      <w:sz w:val="21"/>
      <w:szCs w:val="21"/>
    </w:rPr>
  </w:style>
  <w:style w:type="character" w:customStyle="1" w:styleId="16">
    <w:name w:val="批注文字 Char"/>
    <w:link w:val="5"/>
    <w:semiHidden/>
    <w:qFormat/>
    <w:uiPriority w:val="99"/>
    <w:rPr>
      <w:kern w:val="2"/>
      <w:sz w:val="21"/>
    </w:rPr>
  </w:style>
  <w:style w:type="character" w:customStyle="1" w:styleId="17">
    <w:name w:val="批注框文本 Char1"/>
    <w:link w:val="8"/>
    <w:semiHidden/>
    <w:qFormat/>
    <w:uiPriority w:val="99"/>
    <w:rPr>
      <w:kern w:val="2"/>
      <w:sz w:val="18"/>
      <w:szCs w:val="18"/>
    </w:rPr>
  </w:style>
  <w:style w:type="character" w:customStyle="1" w:styleId="18">
    <w:name w:val="页脚 Char1"/>
    <w:link w:val="9"/>
    <w:qFormat/>
    <w:uiPriority w:val="99"/>
    <w:rPr>
      <w:kern w:val="2"/>
      <w:sz w:val="18"/>
      <w:szCs w:val="18"/>
    </w:rPr>
  </w:style>
  <w:style w:type="character" w:customStyle="1" w:styleId="19">
    <w:name w:val="页眉 Char1"/>
    <w:link w:val="10"/>
    <w:qFormat/>
    <w:uiPriority w:val="99"/>
    <w:rPr>
      <w:kern w:val="2"/>
      <w:sz w:val="18"/>
      <w:szCs w:val="18"/>
    </w:rPr>
  </w:style>
  <w:style w:type="character" w:customStyle="1" w:styleId="20">
    <w:name w:val="批注主题 Char"/>
    <w:link w:val="11"/>
    <w:semiHidden/>
    <w:qFormat/>
    <w:uiPriority w:val="99"/>
    <w:rPr>
      <w:b/>
      <w:bCs/>
      <w:kern w:val="2"/>
      <w:sz w:val="21"/>
    </w:rPr>
  </w:style>
  <w:style w:type="character" w:customStyle="1" w:styleId="21">
    <w:name w:val="批注框文本 Char"/>
    <w:link w:val="22"/>
    <w:qFormat/>
    <w:uiPriority w:val="0"/>
    <w:rPr>
      <w:rFonts w:ascii="Times New Roman" w:hAnsi="Times New Roman" w:eastAsia="宋体"/>
      <w:sz w:val="18"/>
    </w:rPr>
  </w:style>
  <w:style w:type="paragraph" w:customStyle="1" w:styleId="22">
    <w:name w:val="Balloon Text"/>
    <w:basedOn w:val="1"/>
    <w:link w:val="21"/>
    <w:qFormat/>
    <w:uiPriority w:val="0"/>
    <w:rPr>
      <w:rFonts w:ascii="Times New Roman" w:hAnsi="Times New Roman" w:eastAsia="宋体"/>
      <w:sz w:val="18"/>
    </w:rPr>
  </w:style>
  <w:style w:type="character" w:customStyle="1" w:styleId="23">
    <w:name w:val="页脚 Char"/>
    <w:link w:val="24"/>
    <w:qFormat/>
    <w:uiPriority w:val="0"/>
    <w:rPr>
      <w:sz w:val="18"/>
    </w:rPr>
  </w:style>
  <w:style w:type="paragraph" w:customStyle="1" w:styleId="24">
    <w:name w:val="footer"/>
    <w:basedOn w:val="1"/>
    <w:link w:val="23"/>
    <w:qFormat/>
    <w:uiPriority w:val="0"/>
    <w:pPr>
      <w:tabs>
        <w:tab w:val="center" w:pos="4153"/>
        <w:tab w:val="right" w:pos="8306"/>
      </w:tabs>
      <w:snapToGrid w:val="0"/>
      <w:jc w:val="left"/>
    </w:pPr>
    <w:rPr>
      <w:sz w:val="18"/>
    </w:rPr>
  </w:style>
  <w:style w:type="character" w:customStyle="1" w:styleId="25">
    <w:name w:val="页眉 Char"/>
    <w:link w:val="26"/>
    <w:qFormat/>
    <w:uiPriority w:val="0"/>
    <w:rPr>
      <w:sz w:val="18"/>
    </w:rPr>
  </w:style>
  <w:style w:type="paragraph" w:customStyle="1" w:styleId="26">
    <w:name w:val="header"/>
    <w:basedOn w:val="1"/>
    <w:link w:val="25"/>
    <w:qFormat/>
    <w:uiPriority w:val="0"/>
    <w:pPr>
      <w:pBdr>
        <w:bottom w:val="single" w:color="auto" w:sz="6" w:space="1"/>
      </w:pBdr>
      <w:tabs>
        <w:tab w:val="center" w:pos="4153"/>
        <w:tab w:val="right" w:pos="8306"/>
      </w:tabs>
      <w:snapToGrid w:val="0"/>
      <w:jc w:val="center"/>
    </w:pPr>
    <w:rPr>
      <w:sz w:val="18"/>
    </w:rPr>
  </w:style>
  <w:style w:type="paragraph" w:customStyle="1" w:styleId="27">
    <w:name w:val="List Paragraph"/>
    <w:basedOn w:val="1"/>
    <w:qFormat/>
    <w:uiPriority w:val="34"/>
    <w:pPr>
      <w:ind w:firstLine="420" w:firstLineChars="200"/>
    </w:pPr>
  </w:style>
  <w:style w:type="paragraph" w:customStyle="1" w:styleId="28">
    <w:name w:val=" Char Char3 Char Char"/>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148</Words>
  <Characters>849</Characters>
  <Lines>1</Lines>
  <Paragraphs>1</Paragraphs>
  <TotalTime>6</TotalTime>
  <ScaleCrop>false</ScaleCrop>
  <LinksUpToDate>false</LinksUpToDate>
  <CharactersWithSpaces>996</CharactersWithSpaces>
  <Application>WPS Office WWO_wpscloud_20240924151159-b63ae0c567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2022-07-23T01:31:00Z</dcterms:created>
  <dc:creator>杨帆[fyang]</dc:creator>
  <cp:lastModifiedBy>吴璇莲</cp:lastModifiedBy>
  <dcterms:modified xsi:type="dcterms:W3CDTF">2026-09-29T08:20:21Z</dcterms:modified>
  <dc:title>2015年47号-长影集团预审核反馈意见函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Title">
    <vt:lpwstr>2015年47号-长影集团预审核反馈意见函</vt:lpwstr>
  </property>
  <property fmtid="{D5CDD505-2E9C-101B-9397-08002B2CF9AE}" pid="4" name="ICV">
    <vt:lpwstr>6ADD03DCE4004E03B6B3DA8126703069</vt:lpwstr>
  </property>
</Properties>
</file>