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line="960" w:lineRule="exact"/>
        <w:jc w:val="center"/>
        <w:rPr>
          <w:rFonts w:ascii="仿宋_GB2312" w:eastAsia="仿宋_GB2312"/>
          <w:u w:val="single"/>
        </w:rPr>
      </w:pPr>
      <w:r>
        <w:rPr>
          <w:rFonts w:hint="eastAsia" w:eastAsia="方正小标宋简体"/>
          <w:color w:val="FF0000"/>
          <w:spacing w:val="140"/>
          <w:w w:val="90"/>
          <w:kern w:val="11"/>
          <w:sz w:val="84"/>
        </w:rPr>
        <w:t>深圳证券交易所</w:t>
      </w:r>
      <w:r>
        <w:rPr>
          <w:sz w:val="24"/>
        </w:rPr>
        <w:t xml:space="preserve">                                     </w:t>
      </w:r>
    </w:p>
    <w:p>
      <w:pPr>
        <w:spacing w:line="420" w:lineRule="exact"/>
        <w:rPr>
          <w:rFonts w:ascii="仿宋_GB2312" w:eastAsia="仿宋_GB2312"/>
          <w:b/>
          <w:sz w:val="28"/>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257800" cy="635"/>
                <wp:effectExtent l="0" t="13970" r="0" b="23495"/>
                <wp:wrapNone/>
                <wp:docPr id="1" name="直接连接符 9"/>
                <wp:cNvGraphicFramePr/>
                <a:graphic xmlns:a="http://schemas.openxmlformats.org/drawingml/2006/main">
                  <a:graphicData uri="http://schemas.microsoft.com/office/word/2010/wordprocessingShape">
                    <wps:wsp>
                      <wps:cNvCnPr/>
                      <wps:spPr>
                        <a:xfrm>
                          <a:off x="0" y="0"/>
                          <a:ext cx="52578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9pt;margin-top:14.4pt;height:0.05pt;width:414pt;z-index:251659264;mso-width-relative:page;mso-height-relative:page;" filled="f" stroked="t" coordsize="21600,21600" o:gfxdata="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cymPTVAAAACAEAAA8AAAAAAAAAAQAgAAAAIgAAAGRycy9kb3ducmV2LnhtbFBL&#10;AQIUABQAAAAIAIdO4kDwtIYK+QEAAOcDAAAOAAAAAAAAAAEAIAAAACQBAABkcnMvZTJvRG9jLnht&#10;bFBLBQYAAAAABgAGAFkBAACPBQAAAAA=&#10;">
                <v:fill on="f" focussize="0,0"/>
                <v:stroke weight="2.25pt" color="#FF0000" joinstyle="round"/>
                <v:imagedata o:title=""/>
                <o:lock v:ext="edit" aspectratio="f"/>
              </v:line>
            </w:pict>
          </mc:Fallback>
        </mc:AlternateContent>
      </w:r>
    </w:p>
    <w:p>
      <w:pPr>
        <w:spacing w:line="420" w:lineRule="exact"/>
        <w:jc w:val="center"/>
        <w:rPr>
          <w:rFonts w:ascii="仿宋_GB2312" w:eastAsia="仿宋_GB2312"/>
          <w:b/>
          <w:sz w:val="36"/>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黑体" w:eastAsia="方正小标宋简体" w:cs="Times New Roman"/>
          <w:b w:val="0"/>
          <w:bCs/>
          <w:sz w:val="44"/>
          <w:szCs w:val="36"/>
        </w:rPr>
      </w:pPr>
      <w:r>
        <w:rPr>
          <w:rFonts w:hint="eastAsia" w:ascii="方正小标宋简体" w:hAnsi="黑体" w:eastAsia="方正小标宋简体" w:cs="Times New Roman"/>
          <w:b w:val="0"/>
          <w:bCs/>
          <w:sz w:val="44"/>
          <w:szCs w:val="36"/>
        </w:rPr>
        <w:t>关于广东粤海水务投资有限公司面向</w:t>
      </w:r>
      <w:r>
        <w:rPr>
          <w:rFonts w:hint="eastAsia" w:ascii="方正小标宋简体" w:hAnsi="黑体" w:eastAsia="方正小标宋简体" w:cs="Times New Roman"/>
          <w:b w:val="0"/>
          <w:bCs/>
          <w:sz w:val="44"/>
          <w:szCs w:val="36"/>
        </w:rPr>
        <w:br w:type="textWrapping"/>
      </w:r>
      <w:r>
        <w:rPr>
          <w:rFonts w:hint="eastAsia" w:ascii="方正小标宋简体" w:hAnsi="黑体" w:eastAsia="方正小标宋简体" w:cs="Times New Roman"/>
          <w:b w:val="0"/>
          <w:bCs/>
          <w:sz w:val="44"/>
          <w:szCs w:val="36"/>
        </w:rPr>
        <w:t>专业投资者公开发行公司债券并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黑体" w:eastAsia="方正小标宋简体" w:cs="Times New Roman"/>
          <w:b w:val="0"/>
          <w:bCs/>
          <w:sz w:val="44"/>
          <w:szCs w:val="36"/>
        </w:rPr>
      </w:pPr>
      <w:r>
        <w:rPr>
          <w:rFonts w:hint="eastAsia" w:ascii="方正小标宋简体" w:hAnsi="黑体" w:eastAsia="方正小标宋简体" w:cs="Times New Roman"/>
          <w:b w:val="0"/>
          <w:bCs/>
          <w:sz w:val="44"/>
          <w:szCs w:val="36"/>
        </w:rPr>
        <w:t>上市申请文件</w:t>
      </w:r>
      <w:r>
        <w:rPr>
          <w:rFonts w:hint="eastAsia" w:ascii="方正小标宋简体" w:hAnsi="黑体" w:eastAsia="方正小标宋简体" w:cs="Times New Roman"/>
          <w:b w:val="0"/>
          <w:bCs/>
          <w:sz w:val="44"/>
          <w:szCs w:val="36"/>
          <w:lang w:eastAsia="zh-CN"/>
        </w:rPr>
        <w:t>的</w:t>
      </w:r>
      <w:r>
        <w:rPr>
          <w:rFonts w:hint="eastAsia" w:ascii="方正小标宋简体" w:hAnsi="黑体" w:eastAsia="方正小标宋简体" w:cs="Times New Roman"/>
          <w:b w:val="0"/>
          <w:bCs/>
          <w:sz w:val="44"/>
          <w:szCs w:val="36"/>
        </w:rPr>
        <w:t>反馈意见</w:t>
      </w:r>
    </w:p>
    <w:p>
      <w:pPr>
        <w:spacing w:line="420" w:lineRule="exact"/>
        <w:jc w:val="center"/>
        <w:rPr>
          <w:rFonts w:hint="eastAsia" w:ascii="仿宋_GB2312" w:eastAsia="仿宋_GB2312"/>
          <w:b/>
          <w:sz w:val="36"/>
        </w:rPr>
      </w:pPr>
    </w:p>
    <w:p>
      <w:pPr>
        <w:spacing w:before="156" w:beforeLines="50"/>
        <w:ind w:firstLine="845"/>
        <w:jc w:val="right"/>
        <w:rPr>
          <w:sz w:val="24"/>
        </w:rPr>
      </w:pPr>
      <w:r>
        <w:rPr>
          <w:rFonts w:hint="eastAsia"/>
          <w:sz w:val="24"/>
        </w:rPr>
        <w:t>债券业务中心反馈函（公）〔202</w:t>
      </w:r>
      <w:r>
        <w:rPr>
          <w:rFonts w:hint="eastAsia"/>
          <w:sz w:val="24"/>
          <w:lang w:val="en-US" w:eastAsia="zh-CN"/>
        </w:rPr>
        <w:t>6</w:t>
      </w:r>
      <w:r>
        <w:rPr>
          <w:rFonts w:hint="eastAsia"/>
          <w:sz w:val="24"/>
        </w:rPr>
        <w:t>〕第</w:t>
      </w:r>
      <w:r>
        <w:rPr>
          <w:rFonts w:hint="default"/>
          <w:sz w:val="24"/>
          <w:lang w:val="en-US" w:eastAsia="zh-CN"/>
        </w:rPr>
        <w:t>19</w:t>
      </w:r>
      <w:r>
        <w:rPr>
          <w:rFonts w:hint="eastAsia"/>
          <w:sz w:val="24"/>
        </w:rPr>
        <w:t>号</w:t>
      </w:r>
    </w:p>
    <w:p>
      <w:pPr>
        <w:topLinePunct/>
        <w:rPr>
          <w:rFonts w:hint="eastAsia" w:ascii="仿宋_GB2312" w:hAnsi="仿宋_GB2312" w:eastAsia="仿宋_GB2312"/>
          <w:sz w:val="32"/>
        </w:rPr>
      </w:pPr>
    </w:p>
    <w:p>
      <w:pPr>
        <w:topLinePunct/>
        <w:spacing w:line="560" w:lineRule="exact"/>
        <w:ind w:firstLine="0" w:firstLineChars="0"/>
        <w:rPr>
          <w:rFonts w:hint="eastAsia" w:ascii="仿宋" w:hAnsi="仿宋" w:eastAsia="仿宋" w:cs="仿宋"/>
          <w:sz w:val="32"/>
        </w:rPr>
      </w:pPr>
      <w:r>
        <w:rPr>
          <w:rFonts w:hint="eastAsia" w:ascii="仿宋" w:hAnsi="仿宋" w:eastAsia="仿宋"/>
          <w:sz w:val="32"/>
          <w:szCs w:val="30"/>
        </w:rPr>
        <w:t>广东粤海水务投资有限公司</w:t>
      </w:r>
      <w:r>
        <w:rPr>
          <w:rFonts w:hint="eastAsia" w:ascii="仿宋" w:hAnsi="仿宋" w:eastAsia="仿宋" w:cs="仿宋"/>
          <w:sz w:val="32"/>
          <w:lang w:eastAsia="zh-CN"/>
        </w:rPr>
        <w:t>、国信证券股份有限公司</w:t>
      </w:r>
      <w:r>
        <w:rPr>
          <w:rFonts w:hint="eastAsia" w:ascii="仿宋" w:hAnsi="仿宋" w:eastAsia="仿宋" w:cs="仿宋"/>
          <w:sz w:val="32"/>
        </w:rPr>
        <w:t>：</w:t>
      </w:r>
    </w:p>
    <w:p>
      <w:pPr>
        <w:keepNext w:val="0"/>
        <w:keepLines w:val="0"/>
        <w:pageBreakBefore w:val="0"/>
        <w:widowControl w:val="0"/>
        <w:kinsoku/>
        <w:wordWrap/>
        <w:overflowPunct/>
        <w:topLinePunct/>
        <w:bidi w:val="0"/>
        <w:snapToGrid/>
        <w:spacing w:line="560" w:lineRule="exact"/>
        <w:ind w:firstLine="640" w:firstLineChars="200"/>
        <w:textAlignment w:val="auto"/>
        <w:rPr>
          <w:rFonts w:hint="eastAsia" w:ascii="仿宋" w:hAnsi="仿宋" w:eastAsia="仿宋" w:cs="仿宋"/>
          <w:sz w:val="32"/>
        </w:rPr>
      </w:pPr>
      <w:r>
        <w:rPr>
          <w:rFonts w:hint="eastAsia" w:ascii="仿宋" w:hAnsi="仿宋" w:eastAsia="仿宋" w:cs="仿宋"/>
          <w:sz w:val="32"/>
          <w:lang w:val="zh-CN"/>
        </w:rPr>
        <w:t>本所依据相关法规对20</w:t>
      </w:r>
      <w:r>
        <w:rPr>
          <w:rFonts w:hint="eastAsia" w:ascii="仿宋" w:hAnsi="仿宋" w:eastAsia="仿宋" w:cs="仿宋"/>
          <w:sz w:val="32"/>
          <w:lang w:val="en-US" w:eastAsia="zh-CN"/>
        </w:rPr>
        <w:t>26</w:t>
      </w:r>
      <w:r>
        <w:rPr>
          <w:rFonts w:hint="eastAsia" w:ascii="仿宋" w:hAnsi="仿宋" w:eastAsia="仿宋" w:cs="仿宋"/>
          <w:sz w:val="32"/>
          <w:lang w:val="zh-CN"/>
        </w:rPr>
        <w:t>年</w:t>
      </w:r>
      <w:r>
        <w:rPr>
          <w:rFonts w:hint="eastAsia" w:ascii="仿宋" w:hAnsi="仿宋" w:eastAsia="仿宋" w:cs="仿宋"/>
          <w:sz w:val="32"/>
          <w:lang w:val="en-US" w:eastAsia="zh-CN"/>
        </w:rPr>
        <w:t>3</w:t>
      </w:r>
      <w:r>
        <w:rPr>
          <w:rFonts w:hint="eastAsia" w:ascii="仿宋" w:hAnsi="仿宋" w:eastAsia="仿宋" w:cs="仿宋"/>
          <w:sz w:val="32"/>
          <w:lang w:val="zh-CN"/>
        </w:rPr>
        <w:t>月</w:t>
      </w:r>
      <w:r>
        <w:rPr>
          <w:rFonts w:hint="eastAsia" w:ascii="仿宋" w:hAnsi="仿宋" w:eastAsia="仿宋" w:cs="仿宋"/>
          <w:sz w:val="32"/>
          <w:lang w:val="en-US" w:eastAsia="zh-CN"/>
        </w:rPr>
        <w:t>16</w:t>
      </w:r>
      <w:r>
        <w:rPr>
          <w:rFonts w:hint="eastAsia" w:ascii="仿宋" w:hAnsi="仿宋" w:eastAsia="仿宋" w:cs="仿宋"/>
          <w:sz w:val="32"/>
          <w:lang w:val="zh-CN"/>
        </w:rPr>
        <w:t>日受理的广东粤海水务投资有限公司2026年面向专业投资者公开发行公司债券并上市申请文件进行了审核，并形成如下反馈意见</w:t>
      </w:r>
      <w:r>
        <w:rPr>
          <w:rFonts w:hint="eastAsia" w:ascii="仿宋" w:hAnsi="仿宋" w:eastAsia="仿宋" w:cs="仿宋"/>
          <w:sz w:val="32"/>
        </w:rPr>
        <w:t>：</w:t>
      </w:r>
    </w:p>
    <w:p>
      <w:pPr>
        <w:keepNext w:val="0"/>
        <w:keepLines w:val="0"/>
        <w:numPr>
          <w:ilvl w:val="-1"/>
          <w:numId w:val="0"/>
        </w:numPr>
        <w:topLinePunct/>
        <w:snapToGrid/>
        <w:spacing w:line="560" w:lineRule="exact"/>
        <w:ind w:firstLine="640" w:firstLineChars="200"/>
        <w:rPr>
          <w:rFonts w:hint="eastAsia" w:ascii="仿宋" w:hAnsi="仿宋" w:eastAsia="仿宋" w:cs="仿宋"/>
          <w:sz w:val="32"/>
          <w:szCs w:val="20"/>
          <w:lang w:val="zh-CN" w:eastAsia="zh-CN"/>
        </w:rPr>
      </w:pPr>
      <w:r>
        <w:rPr>
          <w:rFonts w:hint="eastAsia" w:ascii="仿宋" w:hAnsi="仿宋" w:eastAsia="仿宋" w:cs="仿宋"/>
          <w:sz w:val="32"/>
          <w:szCs w:val="20"/>
          <w:lang w:val="zh-CN" w:eastAsia="zh-CN"/>
        </w:rPr>
        <w:t>1.发行人首次申请发行公司债券。报告期内，发行人投资活动产生的现金流量净额分别为-141,868.55万元、-103,934.09万元、-128,971.89万元和4,714.44万元，筹资活动产生的现金流量净额分别为167,142.14万元、105,191.76万元、-88,027.67万元和-65,433.94万元，速动比率分别为0.97、0.93、0.95及1.05。报告期末，发行人受限资产占总资产比例为37.69%。请发行人：</w:t>
      </w:r>
    </w:p>
    <w:p>
      <w:pPr>
        <w:keepNext w:val="0"/>
        <w:keepLines w:val="0"/>
        <w:topLinePunct/>
        <w:snapToGrid/>
        <w:spacing w:line="560" w:lineRule="exact"/>
        <w:ind w:firstLine="640" w:firstLineChars="200"/>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（1）补充披露主要投资活动现金流出的具体投向、预计收益实现方式和回收周期；</w:t>
      </w:r>
    </w:p>
    <w:p>
      <w:pPr>
        <w:topLinePunct/>
        <w:snapToGrid/>
        <w:spacing w:line="560" w:lineRule="exact"/>
        <w:ind w:firstLine="640"/>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（2）补充披露筹资活动产生的现金流量净额由正转负的原因；</w:t>
      </w:r>
    </w:p>
    <w:p>
      <w:pPr>
        <w:topLinePunct/>
        <w:snapToGrid/>
        <w:spacing w:line="560" w:lineRule="exact"/>
        <w:ind w:firstLine="640"/>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（3）补充披露受限资产明细、受限原因、目前状态；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说明上述事项对本次债券偿付能力的影响，请主承销商进行核查并发表明确意见。</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2.报告期各期末，发行人应收账款、其他应收款和长期应收款总额合计占总资产比例分别为45.71%、50.17%、</w:t>
      </w:r>
      <w:r>
        <w:rPr>
          <w:rFonts w:hint="eastAsia" w:ascii="仿宋" w:hAnsi="仿宋" w:eastAsia="仿宋"/>
          <w:sz w:val="32"/>
          <w:szCs w:val="32"/>
          <w:highlight w:val="none"/>
          <w:lang w:val="en-US" w:eastAsia="zh-CN"/>
        </w:rPr>
        <w:t>53.83%</w:t>
      </w:r>
      <w:r>
        <w:rPr>
          <w:rFonts w:hint="eastAsia" w:ascii="仿宋" w:hAnsi="仿宋" w:eastAsia="仿宋"/>
          <w:sz w:val="32"/>
          <w:szCs w:val="32"/>
          <w:lang w:val="en-US" w:eastAsia="zh-CN"/>
        </w:rPr>
        <w:t>和51.77%。2024年末，发行人非经营性往来占款余额为104,141.69万元，占2024年末总资产的比例为3.57%。请发行人：</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（1）根据《深圳证券交易所公司债券发行上市审核业务指引第2号——审核重点关注事项（2025年修订）》第十二条规定，补充披露经营性和非经营性往来占款划分的依据；</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（2）补充披露报告期内前五大应收账款、其他应收款、长期应收款的账龄、回款情况、未来回款计划，结合主要对手方资信情况等，说明坏账准备计提的充分性以及应收款项规模较大对偿债能力的影响。</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请主承销商对上述事项进行核查并发表明确意见。</w:t>
      </w:r>
    </w:p>
    <w:p>
      <w:pPr>
        <w:keepNext w:val="0"/>
        <w:keepLines w:val="0"/>
        <w:pageBreakBefore w:val="0"/>
        <w:widowControl w:val="0"/>
        <w:kinsoku/>
        <w:wordWrap/>
        <w:overflowPunct/>
        <w:topLinePunct/>
        <w:autoSpaceDE/>
        <w:autoSpaceDN/>
        <w:bidi w:val="0"/>
        <w:adjustRightInd/>
        <w:snapToGrid/>
        <w:spacing w:line="560" w:lineRule="exact"/>
        <w:ind w:firstLine="707" w:firstLineChars="221"/>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lang w:eastAsia="zh-CN"/>
        </w:rPr>
      </w:pPr>
      <w:r>
        <w:rPr>
          <w:rFonts w:hint="eastAsia" w:ascii="仿宋" w:hAnsi="仿宋" w:eastAsia="仿宋" w:cs="仿宋"/>
          <w:sz w:val="32"/>
        </w:rPr>
        <w:t>根据《深圳证券交易所公司债券发行上市审核规则》等有关规定，</w:t>
      </w:r>
      <w:r>
        <w:rPr>
          <w:rFonts w:hint="eastAsia" w:ascii="仿宋" w:hAnsi="仿宋" w:eastAsia="仿宋" w:cs="仿宋"/>
          <w:i/>
          <w:sz w:val="32"/>
          <w:u w:val="single"/>
        </w:rPr>
        <w:t>请你公司对上述问题逐项落实并在30个工作日内提交回复意见</w:t>
      </w:r>
      <w:r>
        <w:rPr>
          <w:rFonts w:hint="eastAsia" w:ascii="仿宋" w:hAnsi="仿宋" w:eastAsia="仿宋" w:cs="仿宋"/>
          <w:sz w:val="32"/>
        </w:rPr>
        <w:t>。不能按期回复的，请于到期日前向本所提交延期回复的申请，并说明理由。</w:t>
      </w:r>
      <w:r>
        <w:rPr>
          <w:rFonts w:hint="eastAsia" w:ascii="仿宋" w:hAnsi="仿宋" w:eastAsia="仿宋" w:cs="仿宋"/>
          <w:i/>
          <w:sz w:val="32"/>
          <w:u w:val="single"/>
        </w:rPr>
        <w:t>延期时间最长不超过30个工作日。</w:t>
      </w:r>
      <w:r>
        <w:rPr>
          <w:rFonts w:hint="eastAsia" w:ascii="仿宋" w:hAnsi="仿宋" w:eastAsia="仿宋" w:cs="仿宋"/>
          <w:sz w:val="32"/>
        </w:rPr>
        <w:t>未在上述期限内回复意见，且未按期提交延期回复的申请；或者按期提交延期回复的申请，但未说明理由或者理由不充分的；或者未在延期时间内提交前述相关材料且未申请中止审核的，本所可作出终止审核的决定。</w:t>
      </w:r>
      <w:r>
        <w:rPr>
          <w:rFonts w:hint="eastAsia" w:ascii="仿宋" w:hAnsi="仿宋" w:eastAsia="仿宋" w:cs="仿宋"/>
          <w:i/>
          <w:sz w:val="32"/>
          <w:u w:val="single"/>
        </w:rPr>
        <w:t>反馈回复涉及修改募集说明书的，请以楷体加粗标明。</w:t>
      </w:r>
      <w:r>
        <w:rPr>
          <w:rFonts w:hint="eastAsia" w:ascii="仿宋" w:hAnsi="仿宋" w:eastAsia="仿宋" w:cs="仿宋"/>
          <w:sz w:val="32"/>
        </w:rPr>
        <w:t>若对本反馈意见有任何问题，请致电本所审核人员（姓名及电话附后）</w:t>
      </w:r>
      <w:r>
        <w:rPr>
          <w:rFonts w:hint="eastAsia" w:ascii="仿宋" w:hAnsi="仿宋" w:eastAsia="仿宋" w:cs="仿宋"/>
          <w:sz w:val="32"/>
          <w:lang w:eastAsia="zh-CN"/>
        </w:rPr>
        <w:t>。</w:t>
      </w:r>
    </w:p>
    <w:p>
      <w:pPr>
        <w:adjustRightInd w:val="0"/>
        <w:snapToGrid w:val="0"/>
        <w:spacing w:line="360" w:lineRule="auto"/>
        <w:rPr>
          <w:rFonts w:hint="eastAsia" w:ascii="仿宋_GB2312" w:hAnsi="仿宋_GB2312" w:eastAsia="仿宋_GB2312"/>
          <w:sz w:val="32"/>
        </w:rPr>
      </w:pPr>
    </w:p>
    <w:p>
      <w:pPr>
        <w:adjustRightInd w:val="0"/>
        <w:snapToGrid w:val="0"/>
        <w:spacing w:line="360" w:lineRule="auto"/>
        <w:rPr>
          <w:rFonts w:hint="eastAsia" w:ascii="仿宋_GB2312" w:hAnsi="仿宋_GB2312" w:eastAsia="仿宋_GB2312"/>
          <w:sz w:val="32"/>
        </w:rPr>
      </w:pPr>
    </w:p>
    <w:p>
      <w:pPr>
        <w:pStyle w:val="5"/>
        <w:rPr>
          <w:rFonts w:hint="eastAsia"/>
        </w:rPr>
      </w:pP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hint="eastAsia" w:ascii="仿宋" w:hAnsi="仿宋" w:eastAsia="仿宋" w:cs="仿宋"/>
          <w:sz w:val="32"/>
          <w:szCs w:val="32"/>
        </w:rPr>
      </w:pPr>
      <w:r>
        <w:rPr>
          <w:rFonts w:hint="eastAsia" w:ascii="仿宋" w:hAnsi="仿宋" w:eastAsia="仿宋" w:cs="仿宋"/>
          <w:sz w:val="32"/>
          <w:szCs w:val="32"/>
        </w:rPr>
        <w:t>审核员：</w:t>
      </w:r>
      <w:r>
        <w:rPr>
          <w:rFonts w:hint="eastAsia" w:ascii="仿宋" w:hAnsi="仿宋" w:eastAsia="仿宋" w:cs="仿宋"/>
          <w:sz w:val="32"/>
          <w:szCs w:val="32"/>
          <w:lang w:eastAsia="zh-CN"/>
        </w:rPr>
        <w:t>覃先生</w:t>
      </w:r>
      <w:r>
        <w:rPr>
          <w:rFonts w:hint="eastAsia" w:ascii="仿宋" w:hAnsi="仿宋" w:eastAsia="仿宋" w:cs="仿宋"/>
          <w:sz w:val="32"/>
          <w:szCs w:val="32"/>
        </w:rPr>
        <w:t>、</w:t>
      </w:r>
      <w:r>
        <w:rPr>
          <w:rFonts w:hint="eastAsia" w:ascii="仿宋" w:hAnsi="仿宋" w:eastAsia="仿宋" w:cs="仿宋"/>
          <w:sz w:val="32"/>
          <w:szCs w:val="32"/>
          <w:lang w:eastAsia="zh-CN"/>
        </w:rPr>
        <w:t>吴</w:t>
      </w:r>
      <w:r>
        <w:rPr>
          <w:rFonts w:hint="eastAsia" w:ascii="仿宋" w:hAnsi="仿宋" w:eastAsia="仿宋" w:cs="仿宋"/>
          <w:sz w:val="32"/>
          <w:szCs w:val="32"/>
        </w:rPr>
        <w:t>先生</w:t>
      </w: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电话：</w:t>
      </w:r>
      <w:bookmarkStart w:id="0" w:name="OLE_LINK1"/>
      <w:r>
        <w:rPr>
          <w:rFonts w:hint="eastAsia" w:ascii="仿宋" w:hAnsi="仿宋" w:eastAsia="仿宋" w:cs="仿宋"/>
          <w:sz w:val="32"/>
          <w:szCs w:val="32"/>
        </w:rPr>
        <w:t>0755-8866</w:t>
      </w:r>
      <w:r>
        <w:rPr>
          <w:rFonts w:hint="eastAsia" w:ascii="仿宋" w:hAnsi="仿宋" w:eastAsia="仿宋" w:cs="仿宋"/>
          <w:sz w:val="32"/>
          <w:szCs w:val="32"/>
          <w:lang w:val="en-US" w:eastAsia="zh-CN"/>
        </w:rPr>
        <w:t xml:space="preserve"> 6609</w:t>
      </w: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hint="eastAsia" w:ascii="仿宋" w:hAnsi="仿宋" w:eastAsia="仿宋" w:cs="仿宋"/>
          <w:sz w:val="32"/>
          <w:szCs w:val="32"/>
        </w:rPr>
      </w:pPr>
      <w:r>
        <w:rPr>
          <w:rFonts w:hint="eastAsia" w:ascii="仿宋" w:hAnsi="仿宋" w:eastAsia="仿宋" w:cs="仿宋"/>
          <w:sz w:val="32"/>
          <w:szCs w:val="32"/>
          <w:lang w:eastAsia="zh"/>
        </w:rPr>
        <w:t>邮箱：</w:t>
      </w:r>
      <w:r>
        <w:rPr>
          <w:rFonts w:hint="eastAsia" w:ascii="仿宋" w:hAnsi="仿宋" w:eastAsia="仿宋" w:cs="仿宋"/>
          <w:sz w:val="32"/>
          <w:szCs w:val="32"/>
          <w:lang w:val="en-US" w:eastAsia="zh-CN"/>
        </w:rPr>
        <w:t>jqqin</w:t>
      </w:r>
      <w:r>
        <w:rPr>
          <w:rFonts w:hint="eastAsia" w:ascii="仿宋" w:hAnsi="仿宋" w:eastAsia="仿宋" w:cs="仿宋"/>
          <w:sz w:val="32"/>
          <w:szCs w:val="32"/>
          <w:lang w:eastAsia="zh"/>
        </w:rPr>
        <w:t>@szse.cn</w:t>
      </w: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hint="eastAsia" w:ascii="仿宋" w:hAnsi="仿宋" w:eastAsia="仿宋" w:cs="仿宋"/>
          <w:sz w:val="32"/>
          <w:szCs w:val="32"/>
        </w:rPr>
      </w:pPr>
      <w:r>
        <w:rPr>
          <w:rFonts w:hint="eastAsia" w:ascii="仿宋" w:hAnsi="仿宋" w:eastAsia="仿宋" w:cs="仿宋"/>
          <w:sz w:val="32"/>
          <w:szCs w:val="32"/>
        </w:rPr>
        <w:t>深圳证券交易所</w:t>
      </w:r>
      <w:bookmarkEnd w:id="0"/>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hint="eastAsia" w:ascii="仿宋" w:hAnsi="仿宋" w:eastAsia="仿宋" w:cs="仿宋"/>
          <w:sz w:val="32"/>
          <w:szCs w:val="32"/>
        </w:rPr>
      </w:pPr>
      <w:r>
        <w:rPr>
          <w:rFonts w:hint="eastAsia" w:ascii="仿宋" w:hAnsi="仿宋" w:eastAsia="仿宋" w:cs="仿宋"/>
          <w:sz w:val="32"/>
          <w:szCs w:val="32"/>
        </w:rPr>
        <w:t>债券业务</w:t>
      </w:r>
      <w:r>
        <w:rPr>
          <w:rFonts w:hint="eastAsia" w:ascii="仿宋" w:hAnsi="仿宋" w:eastAsia="仿宋" w:cs="仿宋"/>
          <w:sz w:val="32"/>
          <w:szCs w:val="32"/>
          <w:lang w:eastAsia="zh-CN"/>
        </w:rPr>
        <w:t>中心</w:t>
      </w: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hint="eastAsia" w:ascii="仿宋" w:hAnsi="仿宋" w:eastAsia="仿宋" w:cs="仿宋"/>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14"/>
    <w:rsid w:val="000249E5"/>
    <w:rsid w:val="00063E8D"/>
    <w:rsid w:val="00067941"/>
    <w:rsid w:val="00072BFE"/>
    <w:rsid w:val="00083AE3"/>
    <w:rsid w:val="000A0AFE"/>
    <w:rsid w:val="000C42AC"/>
    <w:rsid w:val="000F5608"/>
    <w:rsid w:val="00104188"/>
    <w:rsid w:val="00117000"/>
    <w:rsid w:val="00121F9D"/>
    <w:rsid w:val="001405B9"/>
    <w:rsid w:val="00177038"/>
    <w:rsid w:val="001864EA"/>
    <w:rsid w:val="001B01FA"/>
    <w:rsid w:val="001D4D1E"/>
    <w:rsid w:val="001E300A"/>
    <w:rsid w:val="001F0D21"/>
    <w:rsid w:val="001F2B6C"/>
    <w:rsid w:val="0025037F"/>
    <w:rsid w:val="002878E1"/>
    <w:rsid w:val="002A2DC1"/>
    <w:rsid w:val="002B714C"/>
    <w:rsid w:val="002B77FF"/>
    <w:rsid w:val="002E090A"/>
    <w:rsid w:val="002F1E0D"/>
    <w:rsid w:val="00312BBD"/>
    <w:rsid w:val="00313659"/>
    <w:rsid w:val="003346B5"/>
    <w:rsid w:val="00361727"/>
    <w:rsid w:val="003822FB"/>
    <w:rsid w:val="003949D4"/>
    <w:rsid w:val="0040203E"/>
    <w:rsid w:val="004127D8"/>
    <w:rsid w:val="00445F26"/>
    <w:rsid w:val="00447DF6"/>
    <w:rsid w:val="004506AE"/>
    <w:rsid w:val="004771CD"/>
    <w:rsid w:val="004975D7"/>
    <w:rsid w:val="004C446F"/>
    <w:rsid w:val="004C6C81"/>
    <w:rsid w:val="004D5A18"/>
    <w:rsid w:val="004D6592"/>
    <w:rsid w:val="00533F59"/>
    <w:rsid w:val="00555730"/>
    <w:rsid w:val="0056735B"/>
    <w:rsid w:val="0057166B"/>
    <w:rsid w:val="0058550F"/>
    <w:rsid w:val="005C1A28"/>
    <w:rsid w:val="005E2162"/>
    <w:rsid w:val="0060450A"/>
    <w:rsid w:val="00626F6A"/>
    <w:rsid w:val="006340DA"/>
    <w:rsid w:val="00634668"/>
    <w:rsid w:val="00636700"/>
    <w:rsid w:val="0066252F"/>
    <w:rsid w:val="00672910"/>
    <w:rsid w:val="00695262"/>
    <w:rsid w:val="006A185B"/>
    <w:rsid w:val="006B4F47"/>
    <w:rsid w:val="006C5401"/>
    <w:rsid w:val="007254AE"/>
    <w:rsid w:val="007340DE"/>
    <w:rsid w:val="00752EE7"/>
    <w:rsid w:val="007630BA"/>
    <w:rsid w:val="00765C40"/>
    <w:rsid w:val="007773CC"/>
    <w:rsid w:val="007A38CF"/>
    <w:rsid w:val="007A71C0"/>
    <w:rsid w:val="007C133B"/>
    <w:rsid w:val="007C661F"/>
    <w:rsid w:val="0080000C"/>
    <w:rsid w:val="00804400"/>
    <w:rsid w:val="00840E68"/>
    <w:rsid w:val="0085060D"/>
    <w:rsid w:val="00854620"/>
    <w:rsid w:val="00862EF2"/>
    <w:rsid w:val="008732E8"/>
    <w:rsid w:val="00876976"/>
    <w:rsid w:val="008801C1"/>
    <w:rsid w:val="00881FE1"/>
    <w:rsid w:val="00893D83"/>
    <w:rsid w:val="00894C83"/>
    <w:rsid w:val="00894DCA"/>
    <w:rsid w:val="008A6C0C"/>
    <w:rsid w:val="008B2E4B"/>
    <w:rsid w:val="008B566C"/>
    <w:rsid w:val="00904261"/>
    <w:rsid w:val="00910370"/>
    <w:rsid w:val="009267BE"/>
    <w:rsid w:val="009449D5"/>
    <w:rsid w:val="00950116"/>
    <w:rsid w:val="009771E1"/>
    <w:rsid w:val="009D2D9A"/>
    <w:rsid w:val="009E7408"/>
    <w:rsid w:val="009F655C"/>
    <w:rsid w:val="00A13699"/>
    <w:rsid w:val="00A31D9B"/>
    <w:rsid w:val="00A43F14"/>
    <w:rsid w:val="00A51889"/>
    <w:rsid w:val="00A549BB"/>
    <w:rsid w:val="00A54DE1"/>
    <w:rsid w:val="00A927FD"/>
    <w:rsid w:val="00AB2158"/>
    <w:rsid w:val="00AB31CB"/>
    <w:rsid w:val="00AC5D8E"/>
    <w:rsid w:val="00AE1F56"/>
    <w:rsid w:val="00AE2D8A"/>
    <w:rsid w:val="00B06CAD"/>
    <w:rsid w:val="00B42227"/>
    <w:rsid w:val="00B451BA"/>
    <w:rsid w:val="00B53427"/>
    <w:rsid w:val="00B56BB8"/>
    <w:rsid w:val="00B733C6"/>
    <w:rsid w:val="00B736BD"/>
    <w:rsid w:val="00B74827"/>
    <w:rsid w:val="00B97B4C"/>
    <w:rsid w:val="00BF2944"/>
    <w:rsid w:val="00C3484B"/>
    <w:rsid w:val="00C634C0"/>
    <w:rsid w:val="00C72D54"/>
    <w:rsid w:val="00CB109F"/>
    <w:rsid w:val="00CE46CF"/>
    <w:rsid w:val="00CE5420"/>
    <w:rsid w:val="00CF7DE6"/>
    <w:rsid w:val="00D079D2"/>
    <w:rsid w:val="00D23540"/>
    <w:rsid w:val="00D245E6"/>
    <w:rsid w:val="00D315F6"/>
    <w:rsid w:val="00D65851"/>
    <w:rsid w:val="00D770A7"/>
    <w:rsid w:val="00D95FA8"/>
    <w:rsid w:val="00DE3EA8"/>
    <w:rsid w:val="00DF150C"/>
    <w:rsid w:val="00DF3BAD"/>
    <w:rsid w:val="00E22E19"/>
    <w:rsid w:val="00E878FA"/>
    <w:rsid w:val="00E87D34"/>
    <w:rsid w:val="00EB3D80"/>
    <w:rsid w:val="00EB4FED"/>
    <w:rsid w:val="00ED68A7"/>
    <w:rsid w:val="00EF5B33"/>
    <w:rsid w:val="00F07B2E"/>
    <w:rsid w:val="00F126DE"/>
    <w:rsid w:val="00F210E0"/>
    <w:rsid w:val="00F32F05"/>
    <w:rsid w:val="00F5181C"/>
    <w:rsid w:val="00F73640"/>
    <w:rsid w:val="00F939EE"/>
    <w:rsid w:val="00FA76FA"/>
    <w:rsid w:val="00FD24A8"/>
    <w:rsid w:val="00FF569B"/>
    <w:rsid w:val="00FF5894"/>
    <w:rsid w:val="015A6124"/>
    <w:rsid w:val="01EB7F65"/>
    <w:rsid w:val="06377A25"/>
    <w:rsid w:val="066A01BF"/>
    <w:rsid w:val="074802F6"/>
    <w:rsid w:val="085F0C3A"/>
    <w:rsid w:val="0ABC6BEA"/>
    <w:rsid w:val="0BF26F61"/>
    <w:rsid w:val="0E3C6BD4"/>
    <w:rsid w:val="15272614"/>
    <w:rsid w:val="17FB6855"/>
    <w:rsid w:val="18362417"/>
    <w:rsid w:val="18B47345"/>
    <w:rsid w:val="18D22A62"/>
    <w:rsid w:val="1AE25E98"/>
    <w:rsid w:val="1F510949"/>
    <w:rsid w:val="25F113B2"/>
    <w:rsid w:val="2B9924C4"/>
    <w:rsid w:val="2F2B7FC7"/>
    <w:rsid w:val="2FEC5A48"/>
    <w:rsid w:val="30065B74"/>
    <w:rsid w:val="311A6943"/>
    <w:rsid w:val="34021400"/>
    <w:rsid w:val="3B9D6CEF"/>
    <w:rsid w:val="3D591DE9"/>
    <w:rsid w:val="404C763D"/>
    <w:rsid w:val="42481FEA"/>
    <w:rsid w:val="44F41586"/>
    <w:rsid w:val="45A270F9"/>
    <w:rsid w:val="465B4E6D"/>
    <w:rsid w:val="48720875"/>
    <w:rsid w:val="4A761B16"/>
    <w:rsid w:val="4CAA1530"/>
    <w:rsid w:val="5193674A"/>
    <w:rsid w:val="5A9A7E6B"/>
    <w:rsid w:val="5C0C4088"/>
    <w:rsid w:val="624F722B"/>
    <w:rsid w:val="65015320"/>
    <w:rsid w:val="6A7E0B45"/>
    <w:rsid w:val="6E505D0A"/>
    <w:rsid w:val="6FB85328"/>
    <w:rsid w:val="724B2010"/>
    <w:rsid w:val="748D0491"/>
    <w:rsid w:val="74937C70"/>
    <w:rsid w:val="7E532880"/>
    <w:rsid w:val="7FC6E229"/>
    <w:rsid w:val="DFFDD651"/>
    <w:rsid w:val="E3B354E2"/>
    <w:rsid w:val="FF5FBB20"/>
    <w:rsid w:val="FF7F65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tabs>
        <w:tab w:val="left" w:pos="0"/>
      </w:tabs>
      <w:adjustRightInd w:val="0"/>
      <w:snapToGrid w:val="0"/>
      <w:spacing w:line="560" w:lineRule="exact"/>
      <w:ind w:left="0" w:leftChars="0" w:firstLine="538" w:firstLineChars="200"/>
      <w:jc w:val="left"/>
      <w:outlineLvl w:val="1"/>
    </w:pPr>
    <w:rPr>
      <w:rFonts w:ascii="楷体" w:hAnsi="楷体" w:eastAsia="楷体" w:cstheme="majorBidi"/>
    </w:rPr>
  </w:style>
  <w:style w:type="character" w:default="1" w:styleId="11">
    <w:name w:val="Default Paragraph Fon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semiHidden/>
    <w:unhideWhenUsed/>
    <w:qFormat/>
    <w:uiPriority w:val="99"/>
    <w:pPr>
      <w:widowControl w:val="0"/>
      <w:spacing w:after="120" w:afterLines="0" w:afterAutospacing="0" w:line="560" w:lineRule="exact"/>
      <w:ind w:left="0" w:leftChars="0" w:firstLine="420" w:firstLineChars="100"/>
      <w:jc w:val="both"/>
    </w:pPr>
    <w:rPr>
      <w:rFonts w:ascii="仿宋" w:hAnsi="仿宋" w:eastAsia="仿宋" w:cs="仿宋"/>
      <w:kern w:val="2"/>
      <w:sz w:val="32"/>
      <w:szCs w:val="32"/>
      <w:lang w:val="en-US" w:eastAsia="zh-CN" w:bidi="ar-SA"/>
    </w:rPr>
  </w:style>
  <w:style w:type="paragraph" w:styleId="4">
    <w:name w:val="annotation text"/>
    <w:basedOn w:val="1"/>
    <w:link w:val="13"/>
    <w:unhideWhenUsed/>
    <w:qFormat/>
    <w:uiPriority w:val="99"/>
    <w:pPr>
      <w:jc w:val="left"/>
    </w:pPr>
  </w:style>
  <w:style w:type="paragraph" w:styleId="5">
    <w:name w:val="Body Text Indent"/>
    <w:basedOn w:val="1"/>
    <w:qFormat/>
    <w:uiPriority w:val="0"/>
    <w:pPr>
      <w:tabs>
        <w:tab w:val="left" w:pos="7020"/>
      </w:tabs>
      <w:spacing w:line="600" w:lineRule="exact"/>
      <w:ind w:firstLine="600" w:firstLineChars="200"/>
    </w:pPr>
    <w:rPr>
      <w:rFonts w:ascii="仿宋_GB2312" w:eastAsia="仿宋_GB2312"/>
      <w:sz w:val="30"/>
      <w:szCs w:val="24"/>
    </w:rPr>
  </w:style>
  <w:style w:type="paragraph" w:styleId="6">
    <w:name w:val="Balloon Text"/>
    <w:basedOn w:val="1"/>
    <w:link w:val="14"/>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unhideWhenUsed/>
    <w:qFormat/>
    <w:uiPriority w:val="99"/>
    <w:rPr>
      <w:b/>
      <w:bCs/>
    </w:rPr>
  </w:style>
  <w:style w:type="character" w:styleId="12">
    <w:name w:val="annotation reference"/>
    <w:unhideWhenUsed/>
    <w:qFormat/>
    <w:uiPriority w:val="99"/>
    <w:rPr>
      <w:sz w:val="21"/>
      <w:szCs w:val="21"/>
    </w:rPr>
  </w:style>
  <w:style w:type="character" w:customStyle="1" w:styleId="13">
    <w:name w:val="批注文字 Char"/>
    <w:link w:val="4"/>
    <w:semiHidden/>
    <w:qFormat/>
    <w:uiPriority w:val="99"/>
    <w:rPr>
      <w:kern w:val="2"/>
      <w:sz w:val="21"/>
    </w:rPr>
  </w:style>
  <w:style w:type="character" w:customStyle="1" w:styleId="14">
    <w:name w:val="批注框文本 Char1"/>
    <w:link w:val="6"/>
    <w:semiHidden/>
    <w:qFormat/>
    <w:uiPriority w:val="99"/>
    <w:rPr>
      <w:kern w:val="2"/>
      <w:sz w:val="18"/>
      <w:szCs w:val="18"/>
    </w:rPr>
  </w:style>
  <w:style w:type="character" w:customStyle="1" w:styleId="15">
    <w:name w:val="页脚 Char1"/>
    <w:link w:val="7"/>
    <w:qFormat/>
    <w:uiPriority w:val="99"/>
    <w:rPr>
      <w:kern w:val="2"/>
      <w:sz w:val="18"/>
      <w:szCs w:val="18"/>
    </w:rPr>
  </w:style>
  <w:style w:type="character" w:customStyle="1" w:styleId="16">
    <w:name w:val="页眉 Char1"/>
    <w:link w:val="8"/>
    <w:qFormat/>
    <w:uiPriority w:val="99"/>
    <w:rPr>
      <w:kern w:val="2"/>
      <w:sz w:val="18"/>
      <w:szCs w:val="18"/>
    </w:rPr>
  </w:style>
  <w:style w:type="character" w:customStyle="1" w:styleId="17">
    <w:name w:val="批注主题 Char"/>
    <w:link w:val="9"/>
    <w:semiHidden/>
    <w:qFormat/>
    <w:uiPriority w:val="99"/>
    <w:rPr>
      <w:b/>
      <w:bCs/>
      <w:kern w:val="2"/>
      <w:sz w:val="21"/>
    </w:rPr>
  </w:style>
  <w:style w:type="character" w:customStyle="1" w:styleId="18">
    <w:name w:val="批注框文本 Char"/>
    <w:link w:val="19"/>
    <w:qFormat/>
    <w:uiPriority w:val="0"/>
    <w:rPr>
      <w:rFonts w:ascii="Times New Roman" w:hAnsi="Times New Roman" w:eastAsia="宋体"/>
      <w:sz w:val="18"/>
    </w:rPr>
  </w:style>
  <w:style w:type="paragraph" w:customStyle="1" w:styleId="19">
    <w:name w:val="Balloon Text"/>
    <w:basedOn w:val="1"/>
    <w:link w:val="18"/>
    <w:qFormat/>
    <w:uiPriority w:val="0"/>
    <w:rPr>
      <w:rFonts w:ascii="Times New Roman" w:hAnsi="Times New Roman" w:eastAsia="宋体"/>
      <w:sz w:val="18"/>
    </w:rPr>
  </w:style>
  <w:style w:type="character" w:customStyle="1" w:styleId="20">
    <w:name w:val="页脚 Char"/>
    <w:link w:val="21"/>
    <w:qFormat/>
    <w:uiPriority w:val="0"/>
    <w:rPr>
      <w:sz w:val="18"/>
    </w:rPr>
  </w:style>
  <w:style w:type="paragraph" w:customStyle="1" w:styleId="21">
    <w:name w:val="footer"/>
    <w:basedOn w:val="1"/>
    <w:link w:val="20"/>
    <w:qFormat/>
    <w:uiPriority w:val="0"/>
    <w:pPr>
      <w:tabs>
        <w:tab w:val="center" w:pos="4153"/>
        <w:tab w:val="right" w:pos="8306"/>
      </w:tabs>
      <w:snapToGrid w:val="0"/>
      <w:jc w:val="left"/>
    </w:pPr>
    <w:rPr>
      <w:sz w:val="18"/>
    </w:rPr>
  </w:style>
  <w:style w:type="character" w:customStyle="1" w:styleId="22">
    <w:name w:val="页眉 Char"/>
    <w:link w:val="23"/>
    <w:qFormat/>
    <w:uiPriority w:val="0"/>
    <w:rPr>
      <w:sz w:val="18"/>
    </w:rPr>
  </w:style>
  <w:style w:type="paragraph" w:customStyle="1" w:styleId="23">
    <w:name w:val="header"/>
    <w:basedOn w:val="1"/>
    <w:link w:val="22"/>
    <w:qFormat/>
    <w:uiPriority w:val="0"/>
    <w:pPr>
      <w:pBdr>
        <w:bottom w:val="single" w:color="auto" w:sz="6" w:space="1"/>
      </w:pBdr>
      <w:tabs>
        <w:tab w:val="center" w:pos="4153"/>
        <w:tab w:val="right" w:pos="8306"/>
      </w:tabs>
      <w:snapToGrid w:val="0"/>
      <w:jc w:val="center"/>
    </w:pPr>
    <w:rPr>
      <w:sz w:val="18"/>
    </w:rPr>
  </w:style>
  <w:style w:type="paragraph" w:customStyle="1" w:styleId="24">
    <w:name w:val="List Paragraph"/>
    <w:basedOn w:val="1"/>
    <w:qFormat/>
    <w:uiPriority w:val="34"/>
    <w:pPr>
      <w:ind w:firstLine="420" w:firstLineChars="200"/>
    </w:pPr>
  </w:style>
  <w:style w:type="paragraph" w:customStyle="1" w:styleId="25">
    <w:name w:val=" Char Char3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148</Words>
  <Characters>849</Characters>
  <Lines>1</Lines>
  <Paragraphs>1</Paragraphs>
  <TotalTime>17</TotalTime>
  <ScaleCrop>false</ScaleCrop>
  <LinksUpToDate>false</LinksUpToDate>
  <CharactersWithSpaces>996</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2022-07-19T17:31:00Z</dcterms:created>
  <dc:creator>杨帆[fyang]</dc:creator>
  <cp:lastModifiedBy>覃靖淇</cp:lastModifiedBy>
  <dcterms:modified xsi:type="dcterms:W3CDTF">2026-03-25T14:44:56Z</dcterms:modified>
  <dc:title>2015年47号-长影集团预审核反馈意见函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Title">
    <vt:lpwstr>2015年47号-长影集团预审核反馈意见函</vt:lpwstr>
  </property>
  <property fmtid="{D5CDD505-2E9C-101B-9397-08002B2CF9AE}" pid="4" name="ICV">
    <vt:lpwstr>E95E4BBBF4044401BDB69EB0B9743E5B</vt:lpwstr>
  </property>
</Properties>
</file>