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before="120" w:line="960" w:lineRule="exact"/>
        <w:jc w:val="center"/>
        <w:rPr>
          <w:rFonts w:ascii="仿宋_GB2312" w:eastAsia="仿宋_GB2312"/>
          <w:u w:val="single"/>
        </w:rPr>
      </w:pPr>
      <w:r>
        <w:rPr>
          <w:rFonts w:hint="eastAsia" w:eastAsia="方正小标宋简体"/>
          <w:color w:val="FF0000"/>
          <w:spacing w:val="140"/>
          <w:w w:val="90"/>
          <w:kern w:val="11"/>
          <w:sz w:val="84"/>
        </w:rPr>
        <w:t>深圳证券交易所</w:t>
      </w:r>
      <w:r>
        <w:rPr>
          <w:sz w:val="24"/>
        </w:rPr>
        <w:t xml:space="preserve">                                     </w:t>
      </w:r>
    </w:p>
    <w:p>
      <w:pPr>
        <w:spacing w:line="420" w:lineRule="exact"/>
        <w:rPr>
          <w:rFonts w:ascii="仿宋_GB2312" w:eastAsia="仿宋_GB2312"/>
          <w:b/>
          <w:sz w:val="28"/>
        </w:rPr>
      </w:pPr>
      <w: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182880</wp:posOffset>
                </wp:positionV>
                <wp:extent cx="5257800" cy="635"/>
                <wp:effectExtent l="0" t="13970" r="0" b="23495"/>
                <wp:wrapNone/>
                <wp:docPr id="1" name="直接连接符 9"/>
                <wp:cNvGraphicFramePr/>
                <a:graphic xmlns:a="http://schemas.openxmlformats.org/drawingml/2006/main">
                  <a:graphicData uri="http://schemas.microsoft.com/office/word/2010/wordprocessingShape">
                    <wps:wsp>
                      <wps:cNvSpPr/>
                      <wps:spPr>
                        <a:xfrm>
                          <a:off x="0" y="0"/>
                          <a:ext cx="5257800" cy="635"/>
                        </a:xfrm>
                        <a:prstGeom prst="line">
                          <a:avLst/>
                        </a:prstGeom>
                        <a:ln w="28575" cap="flat" cmpd="sng">
                          <a:solidFill>
                            <a:srgbClr val="FF0000"/>
                          </a:solidFill>
                          <a:prstDash val="solid"/>
                          <a:headEnd type="none" w="med" len="med"/>
                          <a:tailEnd type="none" w="med" len="med"/>
                        </a:ln>
                      </wps:spPr>
                      <wps:bodyPr upright="1"/>
                    </wps:wsp>
                  </a:graphicData>
                </a:graphic>
              </wp:anchor>
            </w:drawing>
          </mc:Choice>
          <mc:Fallback>
            <w:pict>
              <v:line id="直接连接符 9" o:spid="_x0000_s1026" o:spt="20" style="position:absolute;left:0pt;margin-left:9pt;margin-top:14.4pt;height:0.05pt;width:414pt;z-index:251659264;mso-width-relative:page;mso-height-relative:page;" filled="f" stroked="t" coordsize="21600,21600" o:gfxdata="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BzKY9NUAAAAIAQAADwAAAAAAAAABACAAAAAiAAAAZHJzL2Rvd25yZXYueG1sUEsB&#10;AhQAFAAAAAgAh07iQIw8OeL4AQAA5wMAAA4AAAAAAAAAAQAgAAAAJAEAAGRycy9lMm9Eb2MueG1s&#10;UEsFBgAAAAAGAAYAWQEAAI4FAAAAAA==&#10;">
                <v:fill on="f" focussize="0,0"/>
                <v:stroke weight="2.25pt" color="#FF0000" joinstyle="round"/>
                <v:imagedata o:title=""/>
                <o:lock v:ext="edit" aspectratio="f"/>
              </v:line>
            </w:pict>
          </mc:Fallback>
        </mc:AlternateContent>
      </w:r>
    </w:p>
    <w:p>
      <w:pPr>
        <w:spacing w:line="420" w:lineRule="exact"/>
        <w:jc w:val="center"/>
        <w:rPr>
          <w:rFonts w:ascii="仿宋_GB2312" w:eastAsia="仿宋_GB2312"/>
          <w:b/>
          <w:sz w:val="36"/>
        </w:rPr>
      </w:pPr>
    </w:p>
    <w:p>
      <w:pPr>
        <w:kinsoku/>
        <w:autoSpaceDE/>
        <w:autoSpaceDN/>
        <w:snapToGrid w:val="0"/>
        <w:spacing w:line="240" w:lineRule="auto"/>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b w:val="0"/>
          <w:bCs w:val="0"/>
          <w:sz w:val="44"/>
          <w:szCs w:val="44"/>
        </w:rPr>
        <w:t>关于</w:t>
      </w:r>
      <w:r>
        <w:rPr>
          <w:rFonts w:hint="eastAsia" w:ascii="方正小标宋简体" w:hAnsi="方正小标宋简体" w:eastAsia="方正小标宋简体" w:cs="方正小标宋简体"/>
          <w:sz w:val="44"/>
          <w:szCs w:val="44"/>
        </w:rPr>
        <w:t>深圳市福田产业投资服务有限公司</w:t>
      </w:r>
    </w:p>
    <w:p>
      <w:pPr>
        <w:kinsoku/>
        <w:autoSpaceDE/>
        <w:autoSpaceDN/>
        <w:snapToGrid w:val="0"/>
        <w:spacing w:line="240" w:lineRule="auto"/>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sz w:val="44"/>
          <w:szCs w:val="44"/>
        </w:rPr>
        <w:t>面向专业投资者公开发行公司债券</w:t>
      </w:r>
      <w:r>
        <w:rPr>
          <w:rFonts w:hint="eastAsia" w:ascii="方正小标宋简体" w:hAnsi="方正小标宋简体" w:eastAsia="方正小标宋简体" w:cs="方正小标宋简体"/>
          <w:b w:val="0"/>
          <w:bCs w:val="0"/>
          <w:sz w:val="44"/>
          <w:szCs w:val="44"/>
        </w:rPr>
        <w:t>并</w:t>
      </w:r>
    </w:p>
    <w:p>
      <w:pPr>
        <w:kinsoku/>
        <w:autoSpaceDE/>
        <w:autoSpaceDN/>
        <w:snapToGrid w:val="0"/>
        <w:spacing w:line="240" w:lineRule="auto"/>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上市申请文件</w:t>
      </w:r>
      <w:r>
        <w:rPr>
          <w:rFonts w:hint="eastAsia" w:ascii="方正小标宋简体" w:hAnsi="方正小标宋简体" w:eastAsia="方正小标宋简体" w:cs="方正小标宋简体"/>
          <w:b w:val="0"/>
          <w:bCs w:val="0"/>
          <w:sz w:val="44"/>
          <w:szCs w:val="44"/>
          <w:lang w:eastAsia="zh-CN"/>
        </w:rPr>
        <w:t>的</w:t>
      </w:r>
      <w:r>
        <w:rPr>
          <w:rFonts w:hint="eastAsia" w:ascii="方正小标宋简体" w:hAnsi="方正小标宋简体" w:eastAsia="方正小标宋简体" w:cs="方正小标宋简体"/>
          <w:b w:val="0"/>
          <w:bCs w:val="0"/>
          <w:sz w:val="44"/>
          <w:szCs w:val="44"/>
        </w:rPr>
        <w:t>反馈意见</w:t>
      </w:r>
    </w:p>
    <w:p>
      <w:pPr>
        <w:spacing w:line="420" w:lineRule="exact"/>
        <w:jc w:val="center"/>
        <w:rPr>
          <w:rFonts w:hint="eastAsia" w:ascii="仿宋_GB2312" w:eastAsia="仿宋_GB2312"/>
          <w:b/>
          <w:sz w:val="36"/>
        </w:rPr>
      </w:pPr>
    </w:p>
    <w:p>
      <w:pPr>
        <w:spacing w:before="156" w:beforeLines="50"/>
        <w:ind w:firstLine="845"/>
        <w:jc w:val="right"/>
        <w:rPr>
          <w:sz w:val="24"/>
        </w:rPr>
      </w:pPr>
      <w:r>
        <w:rPr>
          <w:rFonts w:hint="eastAsia"/>
          <w:sz w:val="24"/>
        </w:rPr>
        <w:t>债券业务中心反馈函（公）〔202</w:t>
      </w:r>
      <w:r>
        <w:rPr>
          <w:rFonts w:hint="default"/>
          <w:sz w:val="24"/>
          <w:lang w:val="en-US"/>
        </w:rPr>
        <w:t>6</w:t>
      </w:r>
      <w:r>
        <w:rPr>
          <w:rFonts w:hint="eastAsia"/>
          <w:sz w:val="24"/>
        </w:rPr>
        <w:t>〕第</w:t>
      </w:r>
      <w:r>
        <w:rPr>
          <w:rFonts w:hint="default"/>
          <w:sz w:val="24"/>
          <w:lang w:val="en-US"/>
        </w:rPr>
        <w:t>28</w:t>
      </w:r>
      <w:r>
        <w:rPr>
          <w:rFonts w:hint="eastAsia"/>
          <w:sz w:val="24"/>
        </w:rPr>
        <w:t>号</w:t>
      </w:r>
    </w:p>
    <w:p>
      <w:pPr>
        <w:topLinePunct/>
        <w:rPr>
          <w:rFonts w:hint="eastAsia" w:ascii="仿宋_GB2312" w:hAnsi="仿宋_GB2312" w:eastAsia="仿宋_GB2312"/>
          <w:sz w:val="32"/>
        </w:rPr>
      </w:pPr>
    </w:p>
    <w:p>
      <w:pPr>
        <w:topLinePunct/>
        <w:spacing w:line="560" w:lineRule="exact"/>
        <w:ind w:firstLine="0" w:firstLineChars="0"/>
        <w:rPr>
          <w:rFonts w:hint="eastAsia" w:ascii="仿宋" w:hAnsi="仿宋" w:eastAsia="仿宋" w:cs="仿宋"/>
          <w:sz w:val="32"/>
          <w:szCs w:val="32"/>
          <w:lang w:val="zh-CN"/>
        </w:rPr>
      </w:pPr>
      <w:r>
        <w:rPr>
          <w:rFonts w:hint="eastAsia" w:ascii="仿宋" w:hAnsi="仿宋" w:eastAsia="仿宋" w:cs="仿宋"/>
          <w:sz w:val="32"/>
          <w:szCs w:val="32"/>
          <w:lang w:val="zh-CN"/>
        </w:rPr>
        <w:t>深圳市福田产业投资服务有限公司</w:t>
      </w:r>
      <w:r>
        <w:rPr>
          <w:rFonts w:hint="eastAsia" w:ascii="仿宋" w:hAnsi="仿宋" w:eastAsia="仿宋" w:cs="仿宋"/>
          <w:sz w:val="32"/>
          <w:szCs w:val="32"/>
          <w:lang w:val="zh-CN" w:eastAsia="zh-CN"/>
        </w:rPr>
        <w:t>、</w:t>
      </w:r>
      <w:bookmarkStart w:id="0" w:name="_Hlk215497080"/>
      <w:r>
        <w:rPr>
          <w:rFonts w:hint="eastAsia" w:ascii="仿宋" w:hAnsi="仿宋" w:eastAsia="仿宋" w:cs="仿宋"/>
          <w:sz w:val="32"/>
          <w:szCs w:val="32"/>
          <w:lang w:val="zh-CN"/>
        </w:rPr>
        <w:t>招商证券股份有限公司</w:t>
      </w:r>
      <w:bookmarkEnd w:id="0"/>
      <w:r>
        <w:rPr>
          <w:rFonts w:hint="eastAsia" w:ascii="仿宋" w:hAnsi="仿宋" w:eastAsia="仿宋" w:cs="仿宋"/>
          <w:sz w:val="32"/>
          <w:szCs w:val="32"/>
          <w:lang w:val="zh-CN"/>
        </w:rPr>
        <w:t>：</w:t>
      </w:r>
    </w:p>
    <w:p>
      <w:pPr>
        <w:topLinePunct/>
        <w:spacing w:line="560" w:lineRule="exact"/>
        <w:ind w:firstLine="640" w:firstLineChars="200"/>
        <w:rPr>
          <w:rFonts w:hint="eastAsia" w:ascii="仿宋" w:hAnsi="仿宋" w:eastAsia="仿宋" w:cs="仿宋"/>
          <w:sz w:val="32"/>
          <w:szCs w:val="32"/>
          <w:lang w:val="zh-CN"/>
        </w:rPr>
      </w:pPr>
      <w:r>
        <w:rPr>
          <w:rFonts w:hint="eastAsia" w:ascii="仿宋" w:hAnsi="仿宋" w:eastAsia="仿宋" w:cs="仿宋"/>
          <w:sz w:val="32"/>
          <w:szCs w:val="32"/>
          <w:lang w:val="zh-CN"/>
        </w:rPr>
        <w:t>本所依据相关法规对2026年6月1日受理的深圳市福田产业投资服务有限公司公开发行公司债券并上市申请文件进行了审核，并形成如下反馈意见：</w:t>
      </w:r>
    </w:p>
    <w:p>
      <w:pPr>
        <w:topLinePunct/>
        <w:spacing w:line="560" w:lineRule="exact"/>
        <w:ind w:firstLine="640" w:firstLineChars="200"/>
        <w:rPr>
          <w:rFonts w:hint="eastAsia" w:ascii="仿宋" w:hAnsi="仿宋" w:eastAsia="仿宋" w:cs="仿宋"/>
          <w:color w:val="000000"/>
          <w:sz w:val="32"/>
          <w:szCs w:val="32"/>
          <w:lang w:eastAsia="zh-CN"/>
        </w:rPr>
      </w:pPr>
      <w:r>
        <w:rPr>
          <w:rFonts w:hint="eastAsia" w:ascii="仿宋" w:hAnsi="仿宋" w:eastAsia="仿宋" w:cs="仿宋"/>
          <w:sz w:val="32"/>
          <w:szCs w:val="32"/>
          <w:lang w:val="en-US" w:eastAsia="zh-CN"/>
        </w:rPr>
        <w:t>1.</w:t>
      </w:r>
      <w:r>
        <w:rPr>
          <w:rFonts w:hint="eastAsia" w:ascii="仿宋" w:hAnsi="仿宋" w:eastAsia="仿宋" w:cs="仿宋"/>
          <w:color w:val="000000"/>
          <w:sz w:val="32"/>
          <w:szCs w:val="32"/>
        </w:rPr>
        <w:t>2025年度，发行人前五大客户销售金额占营业收入的比例为39.01%</w:t>
      </w:r>
      <w:r>
        <w:rPr>
          <w:rFonts w:hint="eastAsia" w:ascii="仿宋" w:hAnsi="仿宋" w:eastAsia="仿宋" w:cs="仿宋"/>
          <w:color w:val="000000"/>
          <w:sz w:val="32"/>
          <w:szCs w:val="32"/>
          <w:lang w:eastAsia="zh-CN"/>
        </w:rPr>
        <w:t>，其中</w:t>
      </w:r>
      <w:r>
        <w:rPr>
          <w:rFonts w:hint="eastAsia" w:ascii="仿宋" w:hAnsi="仿宋" w:eastAsia="仿宋" w:cs="仿宋"/>
          <w:sz w:val="32"/>
          <w:szCs w:val="32"/>
          <w:lang w:val="en-US" w:eastAsia="zh-CN"/>
        </w:rPr>
        <w:t>第一大客户</w:t>
      </w:r>
      <w:r>
        <w:rPr>
          <w:rFonts w:hint="eastAsia" w:ascii="仿宋" w:hAnsi="仿宋" w:eastAsia="仿宋" w:cs="仿宋"/>
          <w:color w:val="000000"/>
          <w:sz w:val="32"/>
          <w:szCs w:val="32"/>
        </w:rPr>
        <w:t>深圳市绿景房地产开发有限公司</w:t>
      </w:r>
      <w:r>
        <w:rPr>
          <w:rFonts w:hint="eastAsia" w:ascii="仿宋" w:hAnsi="仿宋" w:eastAsia="仿宋" w:cs="仿宋"/>
          <w:color w:val="000000"/>
          <w:sz w:val="32"/>
          <w:szCs w:val="32"/>
          <w:lang w:eastAsia="zh-CN"/>
        </w:rPr>
        <w:t>（以下简称绿景地产）占营业收入的比例</w:t>
      </w:r>
      <w:bookmarkStart w:id="2" w:name="_GoBack"/>
      <w:bookmarkEnd w:id="2"/>
      <w:r>
        <w:rPr>
          <w:rFonts w:hint="eastAsia" w:ascii="仿宋" w:hAnsi="仿宋" w:eastAsia="仿宋" w:cs="仿宋"/>
          <w:color w:val="000000"/>
          <w:sz w:val="32"/>
          <w:szCs w:val="32"/>
          <w:lang w:eastAsia="zh-CN"/>
        </w:rPr>
        <w:t>为</w:t>
      </w:r>
      <w:r>
        <w:rPr>
          <w:rFonts w:hint="eastAsia" w:ascii="仿宋" w:hAnsi="仿宋" w:eastAsia="仿宋" w:cs="仿宋"/>
          <w:color w:val="000000"/>
          <w:sz w:val="32"/>
          <w:szCs w:val="32"/>
          <w:lang w:val="en-US" w:eastAsia="zh-CN"/>
        </w:rPr>
        <w:t>9.26%。根据公开信息，</w:t>
      </w:r>
      <w:r>
        <w:rPr>
          <w:rFonts w:hint="eastAsia" w:ascii="仿宋" w:hAnsi="仿宋" w:eastAsia="仿宋" w:cs="仿宋"/>
          <w:color w:val="000000"/>
          <w:sz w:val="32"/>
          <w:szCs w:val="32"/>
        </w:rPr>
        <w:t>绿景地产</w:t>
      </w:r>
      <w:r>
        <w:rPr>
          <w:rFonts w:hint="eastAsia" w:ascii="仿宋" w:hAnsi="仿宋" w:eastAsia="仿宋" w:cs="仿宋"/>
          <w:sz w:val="32"/>
          <w:szCs w:val="32"/>
          <w:lang w:val="en-US" w:eastAsia="zh-CN"/>
        </w:rPr>
        <w:t>存在欠缴税款、</w:t>
      </w:r>
      <w:r>
        <w:rPr>
          <w:rFonts w:hint="eastAsia" w:ascii="仿宋" w:hAnsi="仿宋" w:eastAsia="仿宋" w:cs="仿宋"/>
          <w:color w:val="000000"/>
          <w:sz w:val="32"/>
          <w:szCs w:val="32"/>
        </w:rPr>
        <w:t>股东存在公司债券展期</w:t>
      </w:r>
      <w:r>
        <w:rPr>
          <w:rFonts w:hint="eastAsia" w:ascii="仿宋" w:hAnsi="仿宋" w:eastAsia="仿宋" w:cs="仿宋"/>
          <w:color w:val="000000"/>
          <w:sz w:val="32"/>
          <w:szCs w:val="32"/>
          <w:lang w:eastAsia="zh-CN"/>
        </w:rPr>
        <w:t>和</w:t>
      </w:r>
      <w:r>
        <w:rPr>
          <w:rFonts w:hint="eastAsia" w:ascii="仿宋" w:hAnsi="仿宋" w:eastAsia="仿宋" w:cs="仿宋"/>
          <w:color w:val="000000"/>
          <w:sz w:val="32"/>
          <w:szCs w:val="32"/>
        </w:rPr>
        <w:t>信托贷款逾期</w:t>
      </w:r>
      <w:r>
        <w:rPr>
          <w:rFonts w:hint="eastAsia" w:ascii="仿宋" w:hAnsi="仿宋" w:eastAsia="仿宋" w:cs="仿宋"/>
          <w:color w:val="000000"/>
          <w:sz w:val="32"/>
          <w:szCs w:val="32"/>
          <w:lang w:eastAsia="zh-CN"/>
        </w:rPr>
        <w:t>等情形</w:t>
      </w:r>
      <w:r>
        <w:rPr>
          <w:rFonts w:hint="eastAsia" w:ascii="仿宋" w:hAnsi="仿宋" w:eastAsia="仿宋" w:cs="仿宋"/>
          <w:color w:val="000000"/>
          <w:sz w:val="32"/>
          <w:szCs w:val="32"/>
        </w:rPr>
        <w:t>。</w:t>
      </w:r>
      <w:r>
        <w:rPr>
          <w:rFonts w:hint="eastAsia" w:ascii="仿宋" w:hAnsi="仿宋" w:eastAsia="仿宋" w:cs="仿宋"/>
          <w:color w:val="000000"/>
          <w:sz w:val="32"/>
          <w:szCs w:val="32"/>
          <w:lang w:eastAsia="zh-CN"/>
        </w:rPr>
        <w:t>请发行人结合主要客户的经营情况、资信情况等，补充披露客户集中度较高对发行人经营稳定性和偿债能力的影响。</w:t>
      </w:r>
    </w:p>
    <w:p>
      <w:pPr>
        <w:topLinePunct/>
        <w:spacing w:line="560" w:lineRule="exact"/>
        <w:ind w:firstLine="640" w:firstLineChars="200"/>
        <w:rPr>
          <w:rFonts w:hint="eastAsia" w:ascii="仿宋" w:hAnsi="仿宋" w:eastAsia="仿宋" w:cs="仿宋"/>
          <w:color w:val="000000"/>
          <w:sz w:val="32"/>
          <w:szCs w:val="32"/>
          <w:lang w:eastAsia="zh-CN"/>
        </w:rPr>
      </w:pPr>
      <w:r>
        <w:rPr>
          <w:rFonts w:hint="eastAsia" w:ascii="仿宋" w:hAnsi="仿宋" w:eastAsia="仿宋" w:cs="仿宋"/>
          <w:color w:val="000000"/>
          <w:sz w:val="32"/>
          <w:szCs w:val="32"/>
          <w:lang w:eastAsia="zh-CN"/>
        </w:rPr>
        <w:t>请主承销商对上述事项进行核查并发表明确意见。</w:t>
      </w:r>
    </w:p>
    <w:p>
      <w:pPr>
        <w:topLinePunct/>
        <w:spacing w:line="560" w:lineRule="exact"/>
        <w:ind w:firstLine="640" w:firstLineChars="200"/>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2.报告期内，</w:t>
      </w:r>
      <w:r>
        <w:rPr>
          <w:rFonts w:hint="eastAsia" w:ascii="仿宋" w:hAnsi="仿宋" w:eastAsia="仿宋" w:cs="仿宋"/>
          <w:sz w:val="32"/>
          <w:szCs w:val="32"/>
        </w:rPr>
        <w:t>发行人息税折旧以及摊销前利润</w:t>
      </w:r>
      <w:r>
        <w:rPr>
          <w:rFonts w:hint="eastAsia" w:ascii="仿宋" w:hAnsi="仿宋" w:eastAsia="仿宋" w:cs="仿宋"/>
          <w:sz w:val="32"/>
          <w:szCs w:val="32"/>
          <w:lang w:val="en-US" w:eastAsia="zh-CN"/>
        </w:rPr>
        <w:t>分别为1.18亿元、1.58亿元和2.64亿元，</w:t>
      </w:r>
      <w:r>
        <w:rPr>
          <w:rFonts w:hint="eastAsia" w:ascii="仿宋" w:hAnsi="仿宋" w:eastAsia="仿宋" w:cs="仿宋"/>
          <w:color w:val="000000"/>
          <w:sz w:val="32"/>
          <w:szCs w:val="32"/>
        </w:rPr>
        <w:t>归属于母公司所有者的净利润</w:t>
      </w:r>
      <w:r>
        <w:rPr>
          <w:rFonts w:hint="eastAsia" w:ascii="仿宋" w:hAnsi="仿宋" w:eastAsia="仿宋" w:cs="仿宋"/>
          <w:color w:val="000000"/>
          <w:sz w:val="32"/>
          <w:szCs w:val="32"/>
          <w:lang w:eastAsia="zh-CN"/>
        </w:rPr>
        <w:t>分别为</w:t>
      </w:r>
      <w:r>
        <w:rPr>
          <w:rFonts w:hint="eastAsia" w:ascii="仿宋" w:hAnsi="仿宋" w:eastAsia="仿宋" w:cs="仿宋"/>
          <w:color w:val="000000"/>
          <w:sz w:val="32"/>
          <w:szCs w:val="32"/>
          <w:lang w:val="en-US" w:eastAsia="zh-CN"/>
        </w:rPr>
        <w:t>0.61亿元、0.40亿元和0.51亿元</w:t>
      </w:r>
      <w:r>
        <w:rPr>
          <w:rFonts w:hint="eastAsia" w:ascii="仿宋" w:hAnsi="仿宋" w:eastAsia="仿宋" w:cs="仿宋"/>
          <w:sz w:val="32"/>
          <w:szCs w:val="32"/>
          <w:lang w:val="en-US" w:eastAsia="zh-CN"/>
        </w:rPr>
        <w:t>。请发行人结合EBITDA利息保障倍数、归属于母公司所有者的净利润对本次债券利息覆盖情况等，补充披露本次债券是否符合</w:t>
      </w:r>
      <w:r>
        <w:rPr>
          <w:rFonts w:hint="eastAsia" w:ascii="仿宋" w:hAnsi="仿宋" w:eastAsia="仿宋" w:cs="仿宋"/>
          <w:kern w:val="2"/>
          <w:sz w:val="32"/>
          <w:szCs w:val="32"/>
          <w:lang w:val="en-US" w:eastAsia="zh-CN" w:bidi="ar"/>
        </w:rPr>
        <w:t>《深圳证券交易所公司债券发行上市审核业务指引第2号——审核重点关注事项（2025年修订）》第十五条的规定</w:t>
      </w:r>
      <w:r>
        <w:rPr>
          <w:rFonts w:hint="eastAsia" w:ascii="仿宋" w:hAnsi="仿宋" w:eastAsia="仿宋" w:cs="仿宋"/>
          <w:sz w:val="32"/>
          <w:szCs w:val="32"/>
          <w:lang w:val="en-US" w:eastAsia="zh-CN"/>
        </w:rPr>
        <w:t>。</w:t>
      </w:r>
    </w:p>
    <w:p>
      <w:pPr>
        <w:topLinePunct/>
        <w:spacing w:line="560" w:lineRule="exact"/>
        <w:ind w:firstLine="640" w:firstLineChars="200"/>
        <w:rPr>
          <w:rFonts w:hint="eastAsia" w:ascii="仿宋" w:hAnsi="仿宋" w:eastAsia="仿宋" w:cs="仿宋"/>
          <w:color w:val="000000"/>
          <w:sz w:val="32"/>
          <w:szCs w:val="32"/>
          <w:lang w:eastAsia="zh-CN"/>
        </w:rPr>
      </w:pPr>
      <w:r>
        <w:rPr>
          <w:rFonts w:hint="eastAsia" w:ascii="仿宋" w:hAnsi="仿宋" w:eastAsia="仿宋" w:cs="仿宋"/>
          <w:color w:val="000000"/>
          <w:sz w:val="32"/>
          <w:szCs w:val="32"/>
          <w:lang w:eastAsia="zh-CN"/>
        </w:rPr>
        <w:t>请主承销商对上述事项进行核查并发表明确意见。</w:t>
      </w:r>
    </w:p>
    <w:p>
      <w:pPr>
        <w:topLinePunct/>
        <w:spacing w:line="560" w:lineRule="exact"/>
        <w:ind w:firstLine="640" w:firstLineChars="200"/>
        <w:rPr>
          <w:rFonts w:hint="eastAsia" w:ascii="仿宋_GB2312" w:hAnsi="仿宋_GB2312" w:eastAsia="仿宋_GB2312"/>
          <w:sz w:val="32"/>
        </w:rPr>
      </w:pPr>
    </w:p>
    <w:p>
      <w:pPr>
        <w:topLinePunct/>
        <w:spacing w:line="560" w:lineRule="exact"/>
        <w:ind w:firstLine="640" w:firstLineChars="200"/>
        <w:rPr>
          <w:rFonts w:hint="eastAsia" w:ascii="仿宋_GB2312" w:hAnsi="仿宋_GB2312" w:eastAsia="仿宋_GB2312"/>
          <w:sz w:val="32"/>
          <w:lang w:eastAsia="zh-CN"/>
        </w:rPr>
      </w:pPr>
      <w:r>
        <w:rPr>
          <w:rFonts w:hint="eastAsia" w:ascii="仿宋" w:hAnsi="仿宋" w:eastAsia="仿宋" w:cs="仿宋"/>
          <w:sz w:val="32"/>
        </w:rPr>
        <w:t>根据《深圳证券交易所公司债券发行上市审核规则》等有关规定，</w:t>
      </w:r>
      <w:r>
        <w:rPr>
          <w:rFonts w:hint="eastAsia" w:ascii="仿宋" w:hAnsi="仿宋" w:eastAsia="仿宋" w:cs="仿宋"/>
          <w:i/>
          <w:sz w:val="32"/>
          <w:u w:val="single"/>
        </w:rPr>
        <w:t>请你公司对上述问题逐项落实并在30个工作日内提交回复意见</w:t>
      </w:r>
      <w:r>
        <w:rPr>
          <w:rFonts w:hint="eastAsia" w:ascii="仿宋" w:hAnsi="仿宋" w:eastAsia="仿宋" w:cs="仿宋"/>
          <w:sz w:val="32"/>
        </w:rPr>
        <w:t>。不能按期回复的，请于到期日前向本所提交延期回复的申请，并说明理由。</w:t>
      </w:r>
      <w:r>
        <w:rPr>
          <w:rFonts w:hint="eastAsia" w:ascii="仿宋" w:hAnsi="仿宋" w:eastAsia="仿宋" w:cs="仿宋"/>
          <w:i/>
          <w:sz w:val="32"/>
          <w:u w:val="single"/>
        </w:rPr>
        <w:t>延期时间最长不超过30个工作日。</w:t>
      </w:r>
      <w:r>
        <w:rPr>
          <w:rFonts w:hint="eastAsia" w:ascii="仿宋" w:hAnsi="仿宋" w:eastAsia="仿宋" w:cs="仿宋"/>
          <w:sz w:val="32"/>
        </w:rPr>
        <w:t>未在上述期限内回复意见，且未按期提交延期回复的申请；或者按期提交延期回复的申请，但未说明理由或者理由不充分的；或者未在延期时间内提交前述相关材料且未申请中止审核的，本所可作出终止审核的决定。</w:t>
      </w:r>
      <w:r>
        <w:rPr>
          <w:rFonts w:hint="eastAsia" w:ascii="仿宋" w:hAnsi="仿宋" w:eastAsia="仿宋" w:cs="仿宋"/>
          <w:i/>
          <w:sz w:val="32"/>
          <w:u w:val="single"/>
        </w:rPr>
        <w:t>反馈回复涉及修改募集说明书的，请以楷体加粗标明。</w:t>
      </w:r>
      <w:r>
        <w:rPr>
          <w:rFonts w:hint="eastAsia" w:ascii="仿宋" w:hAnsi="仿宋" w:eastAsia="仿宋" w:cs="仿宋"/>
          <w:sz w:val="32"/>
        </w:rPr>
        <w:t>若对本反馈意见有任何问题，请致电本所审核人员（姓名及电话附后）</w:t>
      </w:r>
      <w:r>
        <w:rPr>
          <w:rFonts w:hint="eastAsia" w:ascii="仿宋" w:hAnsi="仿宋" w:eastAsia="仿宋" w:cs="仿宋"/>
          <w:sz w:val="32"/>
          <w:lang w:eastAsia="zh-CN"/>
        </w:rPr>
        <w:t>。</w:t>
      </w:r>
    </w:p>
    <w:p>
      <w:pPr>
        <w:adjustRightInd w:val="0"/>
        <w:snapToGrid w:val="0"/>
        <w:spacing w:line="360" w:lineRule="auto"/>
        <w:rPr>
          <w:rFonts w:hint="eastAsia" w:ascii="仿宋_GB2312" w:hAnsi="仿宋_GB2312" w:eastAsia="仿宋_GB2312"/>
          <w:sz w:val="32"/>
        </w:rPr>
      </w:pPr>
    </w:p>
    <w:p>
      <w:pPr>
        <w:topLinePunct/>
        <w:ind w:right="25" w:rightChars="12"/>
        <w:jc w:val="left"/>
        <w:rPr>
          <w:rFonts w:hint="eastAsia" w:ascii="仿宋" w:hAnsi="仿宋" w:eastAsia="仿宋"/>
          <w:sz w:val="32"/>
          <w:szCs w:val="32"/>
        </w:rPr>
      </w:pPr>
      <w:r>
        <w:rPr>
          <w:rFonts w:hint="eastAsia" w:ascii="仿宋" w:hAnsi="仿宋" w:eastAsia="仿宋" w:cs="宋体"/>
          <w:sz w:val="32"/>
          <w:szCs w:val="32"/>
        </w:rPr>
        <w:t>审</w:t>
      </w:r>
      <w:r>
        <w:rPr>
          <w:rFonts w:hint="eastAsia" w:ascii="仿宋" w:hAnsi="仿宋" w:eastAsia="仿宋" w:cs="MS PMincho"/>
          <w:sz w:val="32"/>
          <w:szCs w:val="32"/>
        </w:rPr>
        <w:t>核</w:t>
      </w:r>
      <w:r>
        <w:rPr>
          <w:rFonts w:hint="eastAsia" w:ascii="仿宋" w:hAnsi="仿宋" w:eastAsia="仿宋" w:cs="宋体"/>
          <w:sz w:val="32"/>
          <w:szCs w:val="32"/>
        </w:rPr>
        <w:t>员</w:t>
      </w:r>
      <w:r>
        <w:rPr>
          <w:rFonts w:hint="eastAsia" w:ascii="仿宋" w:hAnsi="仿宋" w:eastAsia="仿宋" w:cs="MS PMincho"/>
          <w:sz w:val="32"/>
          <w:szCs w:val="32"/>
        </w:rPr>
        <w:t>：</w:t>
      </w:r>
      <w:r>
        <w:rPr>
          <w:rFonts w:hint="eastAsia" w:ascii="仿宋" w:hAnsi="仿宋" w:eastAsia="仿宋" w:cs="MS PMincho"/>
          <w:sz w:val="32"/>
          <w:szCs w:val="32"/>
          <w:lang w:val="en-US" w:eastAsia="zh-CN"/>
        </w:rPr>
        <w:t>邓</w:t>
      </w:r>
      <w:r>
        <w:rPr>
          <w:rFonts w:hint="eastAsia" w:ascii="仿宋" w:hAnsi="仿宋" w:eastAsia="仿宋" w:cs="宋体"/>
          <w:sz w:val="32"/>
          <w:szCs w:val="32"/>
        </w:rPr>
        <w:t>女士、</w:t>
      </w:r>
      <w:r>
        <w:rPr>
          <w:rFonts w:hint="eastAsia" w:ascii="仿宋" w:hAnsi="仿宋" w:eastAsia="仿宋" w:cs="宋体"/>
          <w:sz w:val="32"/>
          <w:szCs w:val="32"/>
          <w:lang w:eastAsia="zh-CN"/>
        </w:rPr>
        <w:t>林</w:t>
      </w:r>
      <w:r>
        <w:rPr>
          <w:rFonts w:hint="eastAsia" w:ascii="仿宋" w:hAnsi="仿宋" w:eastAsia="仿宋" w:cs="宋体"/>
          <w:sz w:val="32"/>
          <w:szCs w:val="32"/>
        </w:rPr>
        <w:t>女士</w:t>
      </w:r>
    </w:p>
    <w:p>
      <w:pPr>
        <w:topLinePunct/>
        <w:ind w:right="25" w:rightChars="12"/>
        <w:jc w:val="left"/>
        <w:rPr>
          <w:rFonts w:hint="eastAsia" w:ascii="仿宋" w:hAnsi="仿宋" w:eastAsia="仿宋"/>
          <w:sz w:val="32"/>
          <w:szCs w:val="32"/>
        </w:rPr>
      </w:pPr>
      <w:r>
        <w:rPr>
          <w:rFonts w:hint="eastAsia" w:ascii="仿宋" w:hAnsi="仿宋" w:eastAsia="仿宋" w:cs="宋体"/>
          <w:sz w:val="32"/>
          <w:szCs w:val="32"/>
        </w:rPr>
        <w:t>电话</w:t>
      </w:r>
      <w:r>
        <w:rPr>
          <w:rFonts w:hint="eastAsia" w:ascii="仿宋" w:hAnsi="仿宋" w:eastAsia="仿宋" w:cs="MS PMincho"/>
          <w:sz w:val="32"/>
          <w:szCs w:val="32"/>
        </w:rPr>
        <w:t>：</w:t>
      </w:r>
      <w:bookmarkStart w:id="1" w:name="OLE_LINK1"/>
      <w:r>
        <w:rPr>
          <w:rFonts w:hint="eastAsia" w:ascii="仿宋" w:hAnsi="仿宋" w:eastAsia="仿宋"/>
          <w:sz w:val="32"/>
          <w:szCs w:val="32"/>
        </w:rPr>
        <w:t>0755-8866</w:t>
      </w:r>
      <w:r>
        <w:rPr>
          <w:rFonts w:hint="eastAsia" w:ascii="仿宋" w:hAnsi="仿宋" w:eastAsia="仿宋"/>
          <w:sz w:val="32"/>
          <w:szCs w:val="32"/>
          <w:lang w:val="en-US" w:eastAsia="zh-CN"/>
        </w:rPr>
        <w:t xml:space="preserve"> </w:t>
      </w:r>
      <w:r>
        <w:rPr>
          <w:rFonts w:hint="eastAsia" w:ascii="仿宋" w:hAnsi="仿宋" w:eastAsia="仿宋" w:cs="Times New Roman"/>
          <w:i w:val="0"/>
          <w:iCs w:val="0"/>
          <w:caps w:val="0"/>
          <w:spacing w:val="0"/>
          <w:sz w:val="32"/>
          <w:szCs w:val="32"/>
          <w:shd w:val="clear" w:color="auto" w:fill="auto"/>
        </w:rPr>
        <w:t>8980</w:t>
      </w:r>
    </w:p>
    <w:p>
      <w:pPr>
        <w:topLinePunct/>
        <w:ind w:right="25" w:rightChars="12"/>
        <w:jc w:val="left"/>
        <w:rPr>
          <w:rFonts w:ascii="仿宋" w:hAnsi="仿宋" w:eastAsia="仿宋"/>
          <w:sz w:val="32"/>
          <w:szCs w:val="32"/>
        </w:rPr>
      </w:pPr>
      <w:r>
        <w:rPr>
          <w:rFonts w:hint="eastAsia" w:ascii="仿宋" w:hAnsi="仿宋" w:eastAsia="仿宋"/>
          <w:sz w:val="32"/>
          <w:szCs w:val="32"/>
          <w:lang w:eastAsia="zh"/>
        </w:rPr>
        <w:t>邮箱：</w:t>
      </w:r>
      <w:r>
        <w:rPr>
          <w:rFonts w:hint="eastAsia" w:ascii="仿宋" w:hAnsi="仿宋" w:eastAsia="仿宋" w:cs="Times New Roman"/>
          <w:i w:val="0"/>
          <w:iCs w:val="0"/>
          <w:caps w:val="0"/>
          <w:spacing w:val="0"/>
          <w:sz w:val="32"/>
          <w:szCs w:val="32"/>
          <w:shd w:val="clear" w:color="auto" w:fill="auto"/>
          <w:lang w:eastAsia="zh"/>
        </w:rPr>
        <w:t>mhdeng</w:t>
      </w:r>
      <w:r>
        <w:rPr>
          <w:rFonts w:hint="eastAsia" w:ascii="仿宋" w:hAnsi="仿宋" w:eastAsia="仿宋"/>
          <w:sz w:val="32"/>
          <w:szCs w:val="32"/>
          <w:lang w:eastAsia="zh"/>
        </w:rPr>
        <w:t>@szse.cn</w:t>
      </w:r>
    </w:p>
    <w:p>
      <w:pPr>
        <w:topLinePunct/>
        <w:ind w:left="4620" w:leftChars="2200" w:right="25" w:rightChars="12"/>
        <w:rPr>
          <w:rFonts w:ascii="仿宋" w:hAnsi="仿宋" w:eastAsia="仿宋"/>
          <w:sz w:val="32"/>
          <w:szCs w:val="32"/>
        </w:rPr>
      </w:pPr>
    </w:p>
    <w:p>
      <w:pPr>
        <w:topLinePunct/>
        <w:ind w:left="4620" w:leftChars="2200" w:right="25" w:rightChars="12"/>
        <w:jc w:val="right"/>
        <w:rPr>
          <w:rFonts w:ascii="仿宋" w:hAnsi="仿宋" w:eastAsia="仿宋"/>
          <w:sz w:val="32"/>
          <w:szCs w:val="32"/>
        </w:rPr>
      </w:pPr>
      <w:r>
        <w:rPr>
          <w:rFonts w:hint="eastAsia" w:ascii="仿宋" w:hAnsi="仿宋" w:eastAsia="仿宋"/>
          <w:sz w:val="32"/>
          <w:szCs w:val="32"/>
        </w:rPr>
        <w:t>深圳</w:t>
      </w:r>
      <w:r>
        <w:rPr>
          <w:rFonts w:hint="eastAsia" w:ascii="仿宋" w:hAnsi="仿宋" w:eastAsia="仿宋" w:cs="宋体"/>
          <w:sz w:val="32"/>
          <w:szCs w:val="32"/>
        </w:rPr>
        <w:t>证</w:t>
      </w:r>
      <w:r>
        <w:rPr>
          <w:rFonts w:hint="eastAsia" w:ascii="仿宋" w:hAnsi="仿宋" w:eastAsia="仿宋" w:cs="MS PMincho"/>
          <w:sz w:val="32"/>
          <w:szCs w:val="32"/>
        </w:rPr>
        <w:t>券交易所</w:t>
      </w:r>
      <w:bookmarkEnd w:id="1"/>
    </w:p>
    <w:p>
      <w:pPr>
        <w:topLinePunct/>
        <w:ind w:left="4620" w:leftChars="2200" w:right="25" w:rightChars="12"/>
        <w:jc w:val="right"/>
        <w:rPr>
          <w:rFonts w:ascii="仿宋" w:hAnsi="仿宋" w:eastAsia="仿宋"/>
          <w:sz w:val="32"/>
          <w:szCs w:val="32"/>
        </w:rPr>
      </w:pPr>
      <w:r>
        <w:rPr>
          <w:rFonts w:hint="eastAsia" w:ascii="仿宋" w:hAnsi="仿宋" w:eastAsia="仿宋" w:cs="Times New Roman"/>
          <w:sz w:val="32"/>
          <w:szCs w:val="32"/>
        </w:rPr>
        <w:t>债券业务</w:t>
      </w:r>
      <w:r>
        <w:rPr>
          <w:rFonts w:hint="eastAsia" w:ascii="仿宋" w:hAnsi="仿宋" w:eastAsia="仿宋" w:cs="Times New Roman"/>
          <w:sz w:val="32"/>
          <w:szCs w:val="32"/>
          <w:lang w:eastAsia="zh-CN"/>
        </w:rPr>
        <w:t>中心</w:t>
      </w:r>
    </w:p>
    <w:p>
      <w:pPr>
        <w:topLinePunct/>
        <w:ind w:left="4620" w:leftChars="2200" w:right="25" w:rightChars="12"/>
        <w:jc w:val="right"/>
      </w:pPr>
      <w:r>
        <w:rPr>
          <w:rFonts w:hint="default" w:ascii="仿宋" w:hAnsi="仿宋" w:eastAsia="仿宋"/>
          <w:sz w:val="32"/>
          <w:szCs w:val="32"/>
          <w:lang w:val="en-US"/>
        </w:rPr>
        <w:t>2026</w:t>
      </w:r>
      <w:r>
        <w:rPr>
          <w:rFonts w:hint="eastAsia" w:ascii="仿宋" w:hAnsi="仿宋" w:eastAsia="仿宋"/>
          <w:sz w:val="32"/>
          <w:szCs w:val="32"/>
        </w:rPr>
        <w:t>年</w:t>
      </w:r>
      <w:r>
        <w:rPr>
          <w:rFonts w:hint="default" w:ascii="仿宋" w:hAnsi="仿宋" w:eastAsia="仿宋"/>
          <w:sz w:val="32"/>
          <w:szCs w:val="32"/>
          <w:lang w:val="en-US"/>
        </w:rPr>
        <w:t>6</w:t>
      </w:r>
      <w:r>
        <w:rPr>
          <w:rFonts w:hint="eastAsia" w:ascii="仿宋" w:hAnsi="仿宋" w:eastAsia="仿宋"/>
          <w:sz w:val="32"/>
          <w:szCs w:val="32"/>
        </w:rPr>
        <w:t>月</w:t>
      </w:r>
      <w:r>
        <w:rPr>
          <w:rFonts w:hint="default" w:ascii="仿宋" w:hAnsi="仿宋" w:eastAsia="仿宋"/>
          <w:sz w:val="32"/>
          <w:szCs w:val="32"/>
          <w:lang w:val="en-US"/>
        </w:rPr>
        <w:t>10</w:t>
      </w:r>
      <w:r>
        <w:rPr>
          <w:rFonts w:hint="eastAsia" w:ascii="仿宋" w:hAnsi="仿宋" w:eastAsia="仿宋"/>
          <w:sz w:val="32"/>
          <w:szCs w:val="32"/>
        </w:rPr>
        <w:t>日</w:t>
      </w:r>
    </w:p>
    <w:sectPr>
      <w:footerReference r:id="rId3" w:type="default"/>
      <w:pgSz w:w="11906" w:h="16838"/>
      <w:pgMar w:top="1440" w:right="1800" w:bottom="1440" w:left="1800" w:header="851" w:footer="992" w:gutter="0"/>
      <w:cols w:space="720" w:num="1"/>
      <w:formProt w:val="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方正小标宋简体">
    <w:panose1 w:val="02000000000000000000"/>
    <w:charset w:val="86"/>
    <w:family w:val="auto"/>
    <w:pitch w:val="default"/>
    <w:sig w:usb0="00000001" w:usb1="08000000" w:usb2="00000000" w:usb3="00000000" w:csb0="00040000" w:csb1="00000000"/>
  </w:font>
  <w:font w:name="仿宋">
    <w:panose1 w:val="02010609060101010101"/>
    <w:charset w:val="86"/>
    <w:family w:val="auto"/>
    <w:pitch w:val="default"/>
    <w:sig w:usb0="800002BF" w:usb1="38CF7CFA" w:usb2="00000016" w:usb3="00000000" w:csb0="00040001" w:csb1="00000000"/>
  </w:font>
  <w:font w:name="MS PMincho">
    <w:panose1 w:val="02020600040205080304"/>
    <w:charset w:val="80"/>
    <w:family w:val="roman"/>
    <w:pitch w:val="default"/>
    <w:sig w:usb0="E00002FF" w:usb1="6AC7FDFB" w:usb2="00000012" w:usb3="00000000" w:csb0="4002009F" w:csb1="DFD7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5"/>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thDu4dIBAACjAwAADgAAAAAAAAABACAAAAAi&#10;AQAAZHJzL2Uyb0RvYy54bWxQSwUGAAAAAAYABgBZAQAAZgUAAAAA&#10;">
              <v:fill on="f" focussize="0,0"/>
              <v:stroke on="f" weight="1.2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dit="forms" w:enforcement="0"/>
  <w:defaultTabStop w:val="420"/>
  <w:hyphenationZone w:val="360"/>
  <w:drawingGridHorizontalSpacing w:val="0"/>
  <w:drawingGridVerticalSpacing w:val="156"/>
  <w:displayHorizontalDrawingGridEvery w:val="1"/>
  <w:displayVerticalDrawingGridEvery w:val="1"/>
  <w:doNotShadeFormData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6F14"/>
    <w:rsid w:val="000249E5"/>
    <w:rsid w:val="00063E8D"/>
    <w:rsid w:val="00067941"/>
    <w:rsid w:val="00072BFE"/>
    <w:rsid w:val="00083AE3"/>
    <w:rsid w:val="000A0AFE"/>
    <w:rsid w:val="000F5608"/>
    <w:rsid w:val="00104188"/>
    <w:rsid w:val="00117000"/>
    <w:rsid w:val="00121F9D"/>
    <w:rsid w:val="001405B9"/>
    <w:rsid w:val="00177038"/>
    <w:rsid w:val="001864EA"/>
    <w:rsid w:val="001B01FA"/>
    <w:rsid w:val="001D4D1E"/>
    <w:rsid w:val="001E300A"/>
    <w:rsid w:val="001F0D21"/>
    <w:rsid w:val="001F2B6C"/>
    <w:rsid w:val="0025037F"/>
    <w:rsid w:val="002878E1"/>
    <w:rsid w:val="002A2DC1"/>
    <w:rsid w:val="002B714C"/>
    <w:rsid w:val="002B77FF"/>
    <w:rsid w:val="002E090A"/>
    <w:rsid w:val="002F1E0D"/>
    <w:rsid w:val="00312BBD"/>
    <w:rsid w:val="00313659"/>
    <w:rsid w:val="003346B5"/>
    <w:rsid w:val="00361727"/>
    <w:rsid w:val="003822FB"/>
    <w:rsid w:val="003949D4"/>
    <w:rsid w:val="0040203E"/>
    <w:rsid w:val="004127D8"/>
    <w:rsid w:val="00445F26"/>
    <w:rsid w:val="00447DF6"/>
    <w:rsid w:val="004506AE"/>
    <w:rsid w:val="004771CD"/>
    <w:rsid w:val="004975D7"/>
    <w:rsid w:val="004C446F"/>
    <w:rsid w:val="004C6C81"/>
    <w:rsid w:val="004D5A18"/>
    <w:rsid w:val="004D6592"/>
    <w:rsid w:val="00533F59"/>
    <w:rsid w:val="00555730"/>
    <w:rsid w:val="0056735B"/>
    <w:rsid w:val="0057166B"/>
    <w:rsid w:val="0058550F"/>
    <w:rsid w:val="005C1A28"/>
    <w:rsid w:val="005E2162"/>
    <w:rsid w:val="0060450A"/>
    <w:rsid w:val="00626F6A"/>
    <w:rsid w:val="006340DA"/>
    <w:rsid w:val="00634668"/>
    <w:rsid w:val="00636700"/>
    <w:rsid w:val="0066252F"/>
    <w:rsid w:val="00672910"/>
    <w:rsid w:val="00695262"/>
    <w:rsid w:val="006A185B"/>
    <w:rsid w:val="006B4F47"/>
    <w:rsid w:val="006C5401"/>
    <w:rsid w:val="007254AE"/>
    <w:rsid w:val="007340DE"/>
    <w:rsid w:val="00752EE7"/>
    <w:rsid w:val="007630BA"/>
    <w:rsid w:val="00765C40"/>
    <w:rsid w:val="007773CC"/>
    <w:rsid w:val="007A38CF"/>
    <w:rsid w:val="007A71C0"/>
    <w:rsid w:val="007C133B"/>
    <w:rsid w:val="007C661F"/>
    <w:rsid w:val="0080000C"/>
    <w:rsid w:val="00804400"/>
    <w:rsid w:val="00840E68"/>
    <w:rsid w:val="0085060D"/>
    <w:rsid w:val="00854620"/>
    <w:rsid w:val="00862EF2"/>
    <w:rsid w:val="008732E8"/>
    <w:rsid w:val="00876976"/>
    <w:rsid w:val="008801C1"/>
    <w:rsid w:val="00881FE1"/>
    <w:rsid w:val="00893D83"/>
    <w:rsid w:val="00894C83"/>
    <w:rsid w:val="00894DCA"/>
    <w:rsid w:val="008A6C0C"/>
    <w:rsid w:val="008B2E4B"/>
    <w:rsid w:val="008B566C"/>
    <w:rsid w:val="00904261"/>
    <w:rsid w:val="00910370"/>
    <w:rsid w:val="009267BE"/>
    <w:rsid w:val="009449D5"/>
    <w:rsid w:val="00950116"/>
    <w:rsid w:val="009771E1"/>
    <w:rsid w:val="009D2D9A"/>
    <w:rsid w:val="009E7408"/>
    <w:rsid w:val="009F655C"/>
    <w:rsid w:val="00A13699"/>
    <w:rsid w:val="00A31D9B"/>
    <w:rsid w:val="00A43F14"/>
    <w:rsid w:val="00A51889"/>
    <w:rsid w:val="00A549BB"/>
    <w:rsid w:val="00A54DE1"/>
    <w:rsid w:val="00A927FD"/>
    <w:rsid w:val="00AB2158"/>
    <w:rsid w:val="00AB31CB"/>
    <w:rsid w:val="00AC5D8E"/>
    <w:rsid w:val="00AE1F56"/>
    <w:rsid w:val="00AE2D8A"/>
    <w:rsid w:val="00B06CAD"/>
    <w:rsid w:val="00B42227"/>
    <w:rsid w:val="00B451BA"/>
    <w:rsid w:val="00B53427"/>
    <w:rsid w:val="00B56BB8"/>
    <w:rsid w:val="00B733C6"/>
    <w:rsid w:val="00B736BD"/>
    <w:rsid w:val="00B74827"/>
    <w:rsid w:val="00B97B4C"/>
    <w:rsid w:val="00BF2944"/>
    <w:rsid w:val="00C3484B"/>
    <w:rsid w:val="00C634C0"/>
    <w:rsid w:val="00C72D54"/>
    <w:rsid w:val="00CB109F"/>
    <w:rsid w:val="00CE46CF"/>
    <w:rsid w:val="00CE5420"/>
    <w:rsid w:val="00CF7DE6"/>
    <w:rsid w:val="00D079D2"/>
    <w:rsid w:val="00D23540"/>
    <w:rsid w:val="00D245E6"/>
    <w:rsid w:val="00D315F6"/>
    <w:rsid w:val="00D65851"/>
    <w:rsid w:val="00D770A7"/>
    <w:rsid w:val="00D95FA8"/>
    <w:rsid w:val="00DE3EA8"/>
    <w:rsid w:val="00DF150C"/>
    <w:rsid w:val="00DF3BAD"/>
    <w:rsid w:val="00E22E19"/>
    <w:rsid w:val="00E878FA"/>
    <w:rsid w:val="00E87D34"/>
    <w:rsid w:val="00EB3D80"/>
    <w:rsid w:val="00EB4FED"/>
    <w:rsid w:val="00ED68A7"/>
    <w:rsid w:val="00EF5B33"/>
    <w:rsid w:val="00F07B2E"/>
    <w:rsid w:val="00F126DE"/>
    <w:rsid w:val="00F210E0"/>
    <w:rsid w:val="00F32F05"/>
    <w:rsid w:val="00F5181C"/>
    <w:rsid w:val="00F73640"/>
    <w:rsid w:val="00F939EE"/>
    <w:rsid w:val="00FA76FA"/>
    <w:rsid w:val="00FD24A8"/>
    <w:rsid w:val="00FF569B"/>
    <w:rsid w:val="00FF5894"/>
    <w:rsid w:val="015A6124"/>
    <w:rsid w:val="05333A85"/>
    <w:rsid w:val="066A01BF"/>
    <w:rsid w:val="085F0C3A"/>
    <w:rsid w:val="09184855"/>
    <w:rsid w:val="0CDA69BF"/>
    <w:rsid w:val="10617DA9"/>
    <w:rsid w:val="15272614"/>
    <w:rsid w:val="16E374CC"/>
    <w:rsid w:val="17FB6855"/>
    <w:rsid w:val="18B47345"/>
    <w:rsid w:val="1AE25E98"/>
    <w:rsid w:val="1F510949"/>
    <w:rsid w:val="25F113B2"/>
    <w:rsid w:val="2FEC5A48"/>
    <w:rsid w:val="30065B74"/>
    <w:rsid w:val="311A6943"/>
    <w:rsid w:val="33D56667"/>
    <w:rsid w:val="34021400"/>
    <w:rsid w:val="34FD5884"/>
    <w:rsid w:val="3A53350C"/>
    <w:rsid w:val="3D591DE9"/>
    <w:rsid w:val="42FA22F5"/>
    <w:rsid w:val="45A270F9"/>
    <w:rsid w:val="465B4E6D"/>
    <w:rsid w:val="4CAA1530"/>
    <w:rsid w:val="5193674A"/>
    <w:rsid w:val="65015320"/>
    <w:rsid w:val="6A6F3A8B"/>
    <w:rsid w:val="6A7E0B45"/>
    <w:rsid w:val="6D081515"/>
    <w:rsid w:val="6E505D0A"/>
    <w:rsid w:val="6FB85328"/>
    <w:rsid w:val="78AB27D5"/>
    <w:rsid w:val="7E532880"/>
    <w:rsid w:val="7FC6E229"/>
    <w:rsid w:val="DFFDD651"/>
    <w:rsid w:val="E3B354E2"/>
    <w:rsid w:val="FF5FBB20"/>
    <w:rsid w:val="FF7F652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nhideWhenUsed="0" w:uiPriority="0" w:semiHidden="0"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9">
    <w:name w:val="Default Paragraph Font"/>
    <w:uiPriority w:val="0"/>
  </w:style>
  <w:style w:type="table" w:default="1" w:styleId="8">
    <w:name w:val="Normal Table"/>
    <w:unhideWhenUsed/>
    <w:qFormat/>
    <w:uiPriority w:val="99"/>
    <w:tblPr>
      <w:tblCellMar>
        <w:top w:w="0" w:type="dxa"/>
        <w:left w:w="108" w:type="dxa"/>
        <w:bottom w:w="0" w:type="dxa"/>
        <w:right w:w="108" w:type="dxa"/>
      </w:tblCellMar>
    </w:tblPr>
  </w:style>
  <w:style w:type="paragraph" w:styleId="2">
    <w:name w:val="Body Text Indent"/>
    <w:basedOn w:val="1"/>
    <w:qFormat/>
    <w:uiPriority w:val="0"/>
    <w:pPr>
      <w:tabs>
        <w:tab w:val="left" w:pos="7020"/>
      </w:tabs>
      <w:spacing w:line="600" w:lineRule="exact"/>
      <w:ind w:firstLine="600" w:firstLineChars="200"/>
    </w:pPr>
    <w:rPr>
      <w:rFonts w:ascii="仿宋_GB2312" w:eastAsia="仿宋_GB2312"/>
      <w:sz w:val="30"/>
      <w:szCs w:val="24"/>
    </w:rPr>
  </w:style>
  <w:style w:type="paragraph" w:styleId="3">
    <w:name w:val="annotation text"/>
    <w:basedOn w:val="1"/>
    <w:link w:val="11"/>
    <w:unhideWhenUsed/>
    <w:qFormat/>
    <w:uiPriority w:val="99"/>
    <w:pPr>
      <w:jc w:val="left"/>
    </w:pPr>
  </w:style>
  <w:style w:type="paragraph" w:styleId="4">
    <w:name w:val="Balloon Text"/>
    <w:basedOn w:val="1"/>
    <w:link w:val="12"/>
    <w:unhideWhenUsed/>
    <w:qFormat/>
    <w:uiPriority w:val="99"/>
    <w:rPr>
      <w:sz w:val="18"/>
      <w:szCs w:val="18"/>
    </w:rPr>
  </w:style>
  <w:style w:type="paragraph" w:styleId="5">
    <w:name w:val="footer"/>
    <w:basedOn w:val="1"/>
    <w:link w:val="13"/>
    <w:unhideWhenUsed/>
    <w:qFormat/>
    <w:uiPriority w:val="99"/>
    <w:pPr>
      <w:tabs>
        <w:tab w:val="center" w:pos="4153"/>
        <w:tab w:val="right" w:pos="8306"/>
      </w:tabs>
      <w:snapToGrid w:val="0"/>
      <w:jc w:val="left"/>
    </w:pPr>
    <w:rPr>
      <w:sz w:val="18"/>
      <w:szCs w:val="18"/>
    </w:rPr>
  </w:style>
  <w:style w:type="paragraph" w:styleId="6">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annotation subject"/>
    <w:basedOn w:val="3"/>
    <w:next w:val="3"/>
    <w:link w:val="15"/>
    <w:unhideWhenUsed/>
    <w:qFormat/>
    <w:uiPriority w:val="99"/>
    <w:rPr>
      <w:b/>
      <w:bCs/>
    </w:rPr>
  </w:style>
  <w:style w:type="character" w:styleId="10">
    <w:name w:val="annotation reference"/>
    <w:unhideWhenUsed/>
    <w:qFormat/>
    <w:uiPriority w:val="99"/>
    <w:rPr>
      <w:sz w:val="21"/>
      <w:szCs w:val="21"/>
    </w:rPr>
  </w:style>
  <w:style w:type="character" w:customStyle="1" w:styleId="11">
    <w:name w:val="批注文字 Char"/>
    <w:link w:val="3"/>
    <w:semiHidden/>
    <w:qFormat/>
    <w:uiPriority w:val="99"/>
    <w:rPr>
      <w:kern w:val="2"/>
      <w:sz w:val="21"/>
    </w:rPr>
  </w:style>
  <w:style w:type="character" w:customStyle="1" w:styleId="12">
    <w:name w:val="批注框文本 Char1"/>
    <w:link w:val="4"/>
    <w:semiHidden/>
    <w:qFormat/>
    <w:uiPriority w:val="99"/>
    <w:rPr>
      <w:kern w:val="2"/>
      <w:sz w:val="18"/>
      <w:szCs w:val="18"/>
    </w:rPr>
  </w:style>
  <w:style w:type="character" w:customStyle="1" w:styleId="13">
    <w:name w:val="页脚 Char1"/>
    <w:link w:val="5"/>
    <w:qFormat/>
    <w:uiPriority w:val="99"/>
    <w:rPr>
      <w:kern w:val="2"/>
      <w:sz w:val="18"/>
      <w:szCs w:val="18"/>
    </w:rPr>
  </w:style>
  <w:style w:type="character" w:customStyle="1" w:styleId="14">
    <w:name w:val="页眉 Char1"/>
    <w:link w:val="6"/>
    <w:qFormat/>
    <w:uiPriority w:val="99"/>
    <w:rPr>
      <w:kern w:val="2"/>
      <w:sz w:val="18"/>
      <w:szCs w:val="18"/>
    </w:rPr>
  </w:style>
  <w:style w:type="character" w:customStyle="1" w:styleId="15">
    <w:name w:val="批注主题 Char"/>
    <w:link w:val="7"/>
    <w:semiHidden/>
    <w:qFormat/>
    <w:uiPriority w:val="99"/>
    <w:rPr>
      <w:b/>
      <w:bCs/>
      <w:kern w:val="2"/>
      <w:sz w:val="21"/>
    </w:rPr>
  </w:style>
  <w:style w:type="character" w:customStyle="1" w:styleId="16">
    <w:name w:val="批注框文本 Char"/>
    <w:link w:val="17"/>
    <w:qFormat/>
    <w:uiPriority w:val="0"/>
    <w:rPr>
      <w:rFonts w:ascii="Times New Roman" w:hAnsi="Times New Roman" w:eastAsia="宋体"/>
      <w:sz w:val="18"/>
    </w:rPr>
  </w:style>
  <w:style w:type="paragraph" w:customStyle="1" w:styleId="17">
    <w:name w:val="Balloon Text"/>
    <w:basedOn w:val="1"/>
    <w:link w:val="16"/>
    <w:qFormat/>
    <w:uiPriority w:val="0"/>
    <w:rPr>
      <w:rFonts w:ascii="Times New Roman" w:hAnsi="Times New Roman" w:eastAsia="宋体"/>
      <w:sz w:val="18"/>
    </w:rPr>
  </w:style>
  <w:style w:type="character" w:customStyle="1" w:styleId="18">
    <w:name w:val="页脚 Char"/>
    <w:link w:val="19"/>
    <w:qFormat/>
    <w:uiPriority w:val="0"/>
    <w:rPr>
      <w:sz w:val="18"/>
    </w:rPr>
  </w:style>
  <w:style w:type="paragraph" w:customStyle="1" w:styleId="19">
    <w:name w:val="footer"/>
    <w:basedOn w:val="1"/>
    <w:link w:val="18"/>
    <w:qFormat/>
    <w:uiPriority w:val="0"/>
    <w:pPr>
      <w:tabs>
        <w:tab w:val="center" w:pos="4153"/>
        <w:tab w:val="right" w:pos="8306"/>
      </w:tabs>
      <w:snapToGrid w:val="0"/>
      <w:jc w:val="left"/>
    </w:pPr>
    <w:rPr>
      <w:sz w:val="18"/>
    </w:rPr>
  </w:style>
  <w:style w:type="character" w:customStyle="1" w:styleId="20">
    <w:name w:val="页眉 Char"/>
    <w:link w:val="21"/>
    <w:qFormat/>
    <w:uiPriority w:val="0"/>
    <w:rPr>
      <w:sz w:val="18"/>
    </w:rPr>
  </w:style>
  <w:style w:type="paragraph" w:customStyle="1" w:styleId="21">
    <w:name w:val="header"/>
    <w:basedOn w:val="1"/>
    <w:link w:val="20"/>
    <w:qFormat/>
    <w:uiPriority w:val="0"/>
    <w:pPr>
      <w:pBdr>
        <w:bottom w:val="single" w:color="auto" w:sz="6" w:space="1"/>
      </w:pBdr>
      <w:tabs>
        <w:tab w:val="center" w:pos="4153"/>
        <w:tab w:val="right" w:pos="8306"/>
      </w:tabs>
      <w:snapToGrid w:val="0"/>
      <w:jc w:val="center"/>
    </w:pPr>
    <w:rPr>
      <w:sz w:val="18"/>
    </w:rPr>
  </w:style>
  <w:style w:type="paragraph" w:customStyle="1" w:styleId="22">
    <w:name w:val="List Paragraph"/>
    <w:basedOn w:val="1"/>
    <w:qFormat/>
    <w:uiPriority w:val="34"/>
    <w:pPr>
      <w:ind w:firstLine="420" w:firstLineChars="200"/>
    </w:pPr>
  </w:style>
  <w:style w:type="paragraph" w:customStyle="1" w:styleId="23">
    <w:name w:val=" Char Char3 Char Char"/>
    <w:basedOn w:val="1"/>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3</Pages>
  <Words>148</Words>
  <Characters>849</Characters>
  <Lines>1</Lines>
  <Paragraphs>1</Paragraphs>
  <TotalTime>33</TotalTime>
  <ScaleCrop>false</ScaleCrop>
  <LinksUpToDate>false</LinksUpToDate>
  <CharactersWithSpaces>996</CharactersWithSpaces>
  <Application>WPS Office_11.8.0.17013_F1E327BC-269C-435d-A152-05C5408002CA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2022-07-19T17:31:00Z</dcterms:created>
  <dc:creator>杨帆[fyang]</dc:creator>
  <cp:lastModifiedBy>邓梦桦</cp:lastModifiedBy>
  <dcterms:modified xsi:type="dcterms:W3CDTF">2026-06-11T12:10:11Z</dcterms:modified>
  <dc:title>2015年47号-长影集团预审核反馈意见函</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2052-11.8.0.17013</vt:lpwstr>
  </property>
  <property fmtid="{D5CDD505-2E9C-101B-9397-08002B2CF9AE}" pid="3" name="Title">
    <vt:lpwstr>2015年47号-长影集团预审核反馈意见函</vt:lpwstr>
  </property>
  <property fmtid="{D5CDD505-2E9C-101B-9397-08002B2CF9AE}" pid="4" name="ICV">
    <vt:lpwstr>0362E4F3F4DE458A9F2DFC411471BA7C</vt:lpwstr>
  </property>
</Properties>
</file>